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right="450"/>
        <w:rPr>
          <w:rFonts w:ascii="黑体" w:hAnsi="黑体" w:eastAsia="黑体" w:cs="黑体"/>
          <w:bCs/>
          <w:kern w:val="0"/>
          <w:sz w:val="32"/>
          <w:szCs w:val="32"/>
        </w:rPr>
      </w:pPr>
    </w:p>
    <w:p>
      <w:pPr>
        <w:autoSpaceDE w:val="0"/>
        <w:autoSpaceDN w:val="0"/>
        <w:adjustRightInd w:val="0"/>
        <w:spacing w:line="360" w:lineRule="auto"/>
        <w:ind w:right="450"/>
        <w:rPr>
          <w:rFonts w:ascii="黑体" w:hAnsi="黑体" w:eastAsia="黑体" w:cs="黑体"/>
          <w:bCs/>
          <w:kern w:val="0"/>
          <w:sz w:val="32"/>
          <w:szCs w:val="32"/>
        </w:rPr>
      </w:pPr>
    </w:p>
    <w:p>
      <w:pPr>
        <w:autoSpaceDE w:val="0"/>
        <w:autoSpaceDN w:val="0"/>
        <w:adjustRightInd w:val="0"/>
        <w:spacing w:line="360" w:lineRule="auto"/>
        <w:ind w:right="450"/>
        <w:rPr>
          <w:rFonts w:ascii="黑体" w:hAnsi="黑体" w:eastAsia="黑体" w:cs="黑体"/>
          <w:bCs/>
          <w:kern w:val="0"/>
          <w:sz w:val="32"/>
          <w:szCs w:val="32"/>
        </w:rPr>
      </w:pPr>
    </w:p>
    <w:p>
      <w:pPr>
        <w:spacing w:line="800" w:lineRule="exact"/>
        <w:jc w:val="center"/>
        <w:rPr>
          <w:rFonts w:hint="eastAsia" w:ascii="方正小标宋简体" w:hAnsi="方正小标宋简体" w:eastAsia="方正小标宋简体" w:cs="方正小标宋简体"/>
          <w:bCs/>
          <w:spacing w:val="-6"/>
          <w:kern w:val="0"/>
          <w:sz w:val="48"/>
          <w:szCs w:val="48"/>
        </w:rPr>
      </w:pPr>
      <w:r>
        <w:rPr>
          <w:rFonts w:hint="eastAsia" w:ascii="方正小标宋简体" w:hAnsi="方正小标宋简体" w:eastAsia="方正小标宋简体" w:cs="方正小标宋简体"/>
          <w:bCs/>
          <w:spacing w:val="-6"/>
          <w:kern w:val="0"/>
          <w:sz w:val="48"/>
          <w:szCs w:val="48"/>
        </w:rPr>
        <w:t>省际联盟省（区、兵团）心脏起搏器</w:t>
      </w:r>
    </w:p>
    <w:p>
      <w:pPr>
        <w:spacing w:line="800" w:lineRule="exact"/>
        <w:jc w:val="center"/>
        <w:rPr>
          <w:rFonts w:hint="eastAsia" w:ascii="方正小标宋简体" w:hAnsi="方正小标宋简体" w:eastAsia="方正小标宋简体" w:cs="方正小标宋简体"/>
          <w:bCs/>
          <w:spacing w:val="-6"/>
          <w:kern w:val="0"/>
          <w:sz w:val="48"/>
          <w:szCs w:val="48"/>
        </w:rPr>
      </w:pPr>
      <w:r>
        <w:rPr>
          <w:rFonts w:hint="eastAsia" w:ascii="方正小标宋简体" w:hAnsi="方正小标宋简体" w:eastAsia="方正小标宋简体" w:cs="方正小标宋简体"/>
          <w:bCs/>
          <w:spacing w:val="-6"/>
          <w:kern w:val="0"/>
          <w:sz w:val="48"/>
          <w:szCs w:val="48"/>
        </w:rPr>
        <w:t>集中带量采购文件</w:t>
      </w:r>
    </w:p>
    <w:p>
      <w:pPr>
        <w:spacing w:line="800" w:lineRule="exact"/>
        <w:jc w:val="center"/>
        <w:rPr>
          <w:rFonts w:ascii="方正小标宋简体" w:hAnsi="方正小标宋简体" w:eastAsia="方正小标宋简体" w:cs="方正小标宋简体"/>
          <w:bCs/>
          <w:spacing w:val="-6"/>
          <w:kern w:val="0"/>
          <w:sz w:val="48"/>
          <w:szCs w:val="48"/>
        </w:rPr>
      </w:pPr>
    </w:p>
    <w:p>
      <w:pPr>
        <w:spacing w:line="600" w:lineRule="exact"/>
        <w:jc w:val="center"/>
        <w:rPr>
          <w:rFonts w:ascii="仿宋" w:hAnsi="仿宋" w:eastAsia="仿宋"/>
          <w:spacing w:val="-20"/>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rPr>
          <w:rFonts w:ascii="仿宋" w:hAnsi="仿宋" w:eastAsia="仿宋"/>
          <w:spacing w:val="-20"/>
          <w:sz w:val="24"/>
        </w:rPr>
      </w:pPr>
    </w:p>
    <w:p>
      <w:pPr>
        <w:spacing w:line="600" w:lineRule="exact"/>
        <w:ind w:firstLine="170" w:firstLineChars="100"/>
        <w:jc w:val="center"/>
        <w:rPr>
          <w:rFonts w:ascii="仿宋" w:hAnsi="仿宋" w:eastAsia="仿宋"/>
          <w:b/>
          <w:spacing w:val="-20"/>
          <w:szCs w:val="32"/>
        </w:rPr>
      </w:pPr>
    </w:p>
    <w:p>
      <w:pPr>
        <w:spacing w:line="600" w:lineRule="exact"/>
        <w:ind w:firstLine="170" w:firstLineChars="100"/>
        <w:jc w:val="center"/>
        <w:rPr>
          <w:rFonts w:ascii="仿宋" w:hAnsi="仿宋" w:eastAsia="仿宋"/>
          <w:b/>
          <w:spacing w:val="-20"/>
          <w:szCs w:val="32"/>
        </w:rPr>
      </w:pPr>
    </w:p>
    <w:p>
      <w:pPr>
        <w:spacing w:line="600" w:lineRule="exact"/>
        <w:ind w:firstLine="170" w:firstLineChars="100"/>
        <w:jc w:val="center"/>
        <w:rPr>
          <w:rFonts w:ascii="仿宋" w:hAnsi="仿宋" w:eastAsia="仿宋"/>
          <w:b/>
          <w:spacing w:val="-20"/>
          <w:szCs w:val="32"/>
        </w:rPr>
      </w:pPr>
    </w:p>
    <w:p>
      <w:pPr>
        <w:spacing w:line="600" w:lineRule="exact"/>
        <w:rPr>
          <w:rFonts w:ascii="仿宋" w:hAnsi="仿宋" w:eastAsia="仿宋"/>
          <w:b/>
          <w:spacing w:val="-20"/>
          <w:szCs w:val="32"/>
        </w:rPr>
      </w:pPr>
    </w:p>
    <w:p>
      <w:pPr>
        <w:spacing w:line="600" w:lineRule="exact"/>
        <w:rPr>
          <w:rFonts w:ascii="仿宋" w:hAnsi="仿宋" w:eastAsia="仿宋"/>
          <w:b/>
          <w:spacing w:val="-20"/>
          <w:szCs w:val="32"/>
        </w:rPr>
      </w:pPr>
    </w:p>
    <w:p>
      <w:pPr>
        <w:spacing w:line="600" w:lineRule="exact"/>
        <w:ind w:firstLine="3080" w:firstLineChars="1100"/>
        <w:rPr>
          <w:rFonts w:ascii="黑体" w:hAnsi="黑体" w:eastAsia="黑体" w:cs="黑体"/>
          <w:bCs/>
          <w:spacing w:val="-20"/>
          <w:sz w:val="32"/>
          <w:szCs w:val="32"/>
        </w:rPr>
      </w:pPr>
      <w:r>
        <w:rPr>
          <w:rFonts w:hint="eastAsia" w:ascii="黑体" w:hAnsi="黑体" w:eastAsia="黑体" w:cs="黑体"/>
          <w:bCs/>
          <w:spacing w:val="-20"/>
          <w:sz w:val="32"/>
          <w:szCs w:val="32"/>
        </w:rPr>
        <w:t>陕西省公共资源交易中心</w:t>
      </w:r>
    </w:p>
    <w:p>
      <w:pPr>
        <w:spacing w:line="600" w:lineRule="exact"/>
        <w:ind w:firstLine="3640" w:firstLineChars="1300"/>
        <w:rPr>
          <w:rFonts w:ascii="黑体" w:hAnsi="黑体" w:eastAsia="黑体" w:cs="黑体"/>
          <w:bCs/>
          <w:sz w:val="32"/>
          <w:szCs w:val="32"/>
        </w:rPr>
      </w:pPr>
      <w:r>
        <w:rPr>
          <w:rFonts w:hint="eastAsia" w:ascii="黑体" w:hAnsi="黑体" w:eastAsia="黑体" w:cs="黑体"/>
          <w:bCs/>
          <w:spacing w:val="-20"/>
          <w:sz w:val="32"/>
          <w:szCs w:val="32"/>
        </w:rPr>
        <w:t>2021年</w:t>
      </w:r>
      <w:r>
        <w:rPr>
          <w:rFonts w:hint="eastAsia" w:ascii="黑体" w:hAnsi="黑体" w:eastAsia="黑体" w:cs="黑体"/>
          <w:bCs/>
          <w:spacing w:val="-20"/>
          <w:sz w:val="32"/>
          <w:szCs w:val="32"/>
          <w:lang w:val="en-US" w:eastAsia="zh-CN"/>
        </w:rPr>
        <w:t>10</w:t>
      </w:r>
      <w:r>
        <w:rPr>
          <w:rFonts w:hint="eastAsia" w:ascii="黑体" w:hAnsi="黑体" w:eastAsia="黑体" w:cs="黑体"/>
          <w:bCs/>
          <w:spacing w:val="-20"/>
          <w:sz w:val="32"/>
          <w:szCs w:val="32"/>
        </w:rPr>
        <w:t>月</w:t>
      </w:r>
    </w:p>
    <w:p>
      <w:pPr>
        <w:spacing w:line="600" w:lineRule="exact"/>
        <w:ind w:firstLine="4000" w:firstLineChars="1000"/>
        <w:rPr>
          <w:rFonts w:ascii="仿宋" w:hAnsi="仿宋" w:eastAsia="仿宋"/>
          <w:b/>
          <w:spacing w:val="-20"/>
          <w:sz w:val="44"/>
          <w:szCs w:val="44"/>
        </w:rPr>
      </w:pPr>
    </w:p>
    <w:p>
      <w:pPr>
        <w:spacing w:line="600" w:lineRule="exact"/>
        <w:ind w:firstLine="4000" w:firstLineChars="1000"/>
        <w:rPr>
          <w:rFonts w:ascii="仿宋" w:hAnsi="仿宋" w:eastAsia="仿宋"/>
          <w:b/>
          <w:spacing w:val="-20"/>
          <w:sz w:val="44"/>
          <w:szCs w:val="44"/>
        </w:rPr>
      </w:pPr>
    </w:p>
    <w:p>
      <w:pPr>
        <w:spacing w:line="600" w:lineRule="exact"/>
        <w:ind w:firstLine="4000" w:firstLineChars="1000"/>
        <w:rPr>
          <w:rFonts w:ascii="仿宋" w:hAnsi="仿宋" w:eastAsia="仿宋"/>
          <w:b/>
          <w:spacing w:val="-20"/>
          <w:sz w:val="44"/>
          <w:szCs w:val="44"/>
        </w:rPr>
      </w:pPr>
    </w:p>
    <w:p>
      <w:pPr>
        <w:spacing w:line="600" w:lineRule="exact"/>
        <w:ind w:firstLine="4000" w:firstLineChars="1000"/>
        <w:rPr>
          <w:rFonts w:hint="eastAsia" w:ascii="仿宋" w:hAnsi="仿宋" w:eastAsia="仿宋"/>
          <w:b/>
          <w:spacing w:val="-20"/>
          <w:sz w:val="44"/>
          <w:szCs w:val="44"/>
        </w:rPr>
      </w:pPr>
    </w:p>
    <w:p>
      <w:pPr>
        <w:spacing w:line="800" w:lineRule="exact"/>
        <w:jc w:val="center"/>
        <w:rPr>
          <w:rFonts w:ascii="方正小标宋简体" w:hAnsi="方正小标宋简体" w:eastAsia="方正小标宋简体" w:cs="方正小标宋简体"/>
          <w:bCs/>
          <w:spacing w:val="-6"/>
          <w:kern w:val="0"/>
          <w:sz w:val="48"/>
          <w:szCs w:val="48"/>
        </w:rPr>
      </w:pPr>
      <w:r>
        <w:rPr>
          <w:rFonts w:hint="eastAsia" w:ascii="方正小标宋简体" w:hAnsi="方正小标宋简体" w:eastAsia="方正小标宋简体" w:cs="方正小标宋简体"/>
          <w:bCs/>
          <w:spacing w:val="-6"/>
          <w:kern w:val="0"/>
          <w:sz w:val="48"/>
          <w:szCs w:val="48"/>
        </w:rPr>
        <w:t>前    言</w:t>
      </w:r>
    </w:p>
    <w:p>
      <w:pPr>
        <w:tabs>
          <w:tab w:val="left" w:pos="2385"/>
          <w:tab w:val="left" w:pos="2790"/>
          <w:tab w:val="center" w:pos="4535"/>
        </w:tabs>
        <w:spacing w:line="600" w:lineRule="exact"/>
        <w:ind w:firstLine="340" w:firstLineChars="200"/>
        <w:jc w:val="right"/>
        <w:rPr>
          <w:rFonts w:ascii="仿宋" w:hAnsi="仿宋" w:eastAsia="仿宋"/>
          <w:spacing w:val="-20"/>
          <w:szCs w:val="32"/>
        </w:rPr>
      </w:pP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我中心受省际联盟省（区、兵团）联合采购办公室委托，根据《省际联盟省（区、兵团）心脏起搏器集中带量采购工作实施方案》，编制了《省际联盟省（区、兵团）心脏起搏器集中带量采购文件》（以下简称“采购文件”）。</w:t>
      </w: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采购文件》主要作为企业参加本次联合带量采购工作的指南，重点对采购工作流程、企业须知、报名要求等内容进行详细说明。旨在引导企业规范申报，及时跟进工作流程。相关企业应认真阅读采购文件，严格按照要求准备、编制、提交申报材料并做出实质性响应。</w:t>
      </w: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陕西省公共资源交易中心对申报人提出的澄清要求进行受理，必要时可对采购文件进行补充、修改。所有对采购文件的补充、修改和澄清说明在陕西省药械集中采购平台上发布后，视为申报人知晓，并对其具有约束力。</w:t>
      </w:r>
    </w:p>
    <w:p>
      <w:pPr>
        <w:tabs>
          <w:tab w:val="left" w:pos="1365"/>
          <w:tab w:val="left" w:pos="1785"/>
        </w:tabs>
        <w:spacing w:line="600" w:lineRule="exact"/>
        <w:ind w:firstLine="200"/>
        <w:rPr>
          <w:rFonts w:ascii="仿宋_GB2312" w:hAnsi="仿宋_GB2312" w:eastAsia="仿宋_GB2312" w:cs="仿宋_GB2312"/>
          <w:b/>
          <w:spacing w:val="-20"/>
          <w:sz w:val="32"/>
          <w:szCs w:val="32"/>
        </w:rPr>
      </w:pPr>
    </w:p>
    <w:p>
      <w:pPr>
        <w:pStyle w:val="13"/>
        <w:jc w:val="center"/>
        <w:rPr>
          <w:color w:val="auto"/>
          <w:sz w:val="44"/>
          <w:szCs w:val="44"/>
        </w:rPr>
      </w:pPr>
    </w:p>
    <w:p>
      <w:pPr>
        <w:rPr>
          <w:sz w:val="44"/>
          <w:szCs w:val="44"/>
        </w:rPr>
      </w:pPr>
    </w:p>
    <w:p>
      <w:pPr>
        <w:rPr>
          <w:sz w:val="44"/>
          <w:szCs w:val="44"/>
        </w:rPr>
      </w:pPr>
    </w:p>
    <w:p>
      <w:pPr>
        <w:rPr>
          <w:sz w:val="44"/>
          <w:szCs w:val="44"/>
        </w:rPr>
      </w:pPr>
    </w:p>
    <w:p>
      <w:pPr>
        <w:rPr>
          <w:spacing w:val="-20"/>
          <w:sz w:val="30"/>
          <w:szCs w:val="30"/>
        </w:rPr>
      </w:pPr>
    </w:p>
    <w:p>
      <w:pPr>
        <w:snapToGrid w:val="0"/>
        <w:spacing w:line="500" w:lineRule="exact"/>
        <w:jc w:val="center"/>
        <w:rPr>
          <w:rFonts w:ascii="宋体" w:hAnsi="宋体"/>
          <w:b/>
          <w:bCs/>
          <w:sz w:val="24"/>
        </w:rPr>
      </w:pPr>
    </w:p>
    <w:p>
      <w:pPr>
        <w:snapToGrid w:val="0"/>
        <w:spacing w:line="500" w:lineRule="exact"/>
        <w:jc w:val="center"/>
        <w:rPr>
          <w:rFonts w:ascii="宋体" w:hAnsi="宋体"/>
          <w:b/>
          <w:bCs/>
          <w:sz w:val="24"/>
        </w:rPr>
      </w:pPr>
    </w:p>
    <w:p>
      <w:pPr>
        <w:snapToGrid w:val="0"/>
        <w:spacing w:line="500" w:lineRule="exact"/>
        <w:jc w:val="center"/>
        <w:rPr>
          <w:rFonts w:ascii="宋体" w:hAnsi="宋体"/>
          <w:b/>
          <w:bCs/>
          <w:sz w:val="24"/>
        </w:rPr>
      </w:pPr>
    </w:p>
    <w:p>
      <w:pPr>
        <w:tabs>
          <w:tab w:val="left" w:pos="1365"/>
          <w:tab w:val="left" w:pos="1785"/>
        </w:tabs>
        <w:spacing w:line="600" w:lineRule="exact"/>
        <w:jc w:val="center"/>
        <w:rPr>
          <w:rFonts w:ascii="方正小标宋简体" w:hAnsi="方正小标宋简体" w:eastAsia="方正小标宋简体" w:cs="方正小标宋简体"/>
          <w:bCs/>
          <w:spacing w:val="-20"/>
          <w:sz w:val="44"/>
          <w:szCs w:val="44"/>
        </w:rPr>
      </w:pPr>
    </w:p>
    <w:p>
      <w:pPr>
        <w:tabs>
          <w:tab w:val="left" w:pos="1365"/>
          <w:tab w:val="left" w:pos="1785"/>
        </w:tabs>
        <w:spacing w:line="600" w:lineRule="exact"/>
        <w:jc w:val="center"/>
        <w:rPr>
          <w:rFonts w:hint="eastAsia" w:ascii="方正小标宋简体" w:hAnsi="方正小标宋简体" w:eastAsia="方正小标宋简体" w:cs="方正小标宋简体"/>
          <w:bCs/>
          <w:spacing w:val="-20"/>
          <w:sz w:val="44"/>
          <w:szCs w:val="44"/>
        </w:rPr>
      </w:pPr>
    </w:p>
    <w:p>
      <w:pPr>
        <w:spacing w:line="800" w:lineRule="exact"/>
        <w:jc w:val="center"/>
        <w:rPr>
          <w:rFonts w:ascii="方正小标宋简体" w:hAnsi="方正小标宋简体" w:eastAsia="方正小标宋简体" w:cs="方正小标宋简体"/>
          <w:bCs/>
          <w:spacing w:val="-6"/>
          <w:kern w:val="0"/>
          <w:sz w:val="48"/>
          <w:szCs w:val="48"/>
        </w:rPr>
      </w:pPr>
      <w:r>
        <w:rPr>
          <w:rFonts w:hint="eastAsia" w:ascii="方正小标宋简体" w:hAnsi="方正小标宋简体" w:eastAsia="方正小标宋简体" w:cs="方正小标宋简体"/>
          <w:bCs/>
          <w:spacing w:val="-6"/>
          <w:kern w:val="0"/>
          <w:sz w:val="48"/>
          <w:szCs w:val="48"/>
        </w:rPr>
        <w:t>目    录</w:t>
      </w:r>
    </w:p>
    <w:p>
      <w:pPr>
        <w:spacing w:line="800" w:lineRule="exact"/>
        <w:jc w:val="center"/>
        <w:rPr>
          <w:rFonts w:ascii="方正小标宋简体" w:hAnsi="方正小标宋简体" w:eastAsia="方正小标宋简体" w:cs="方正小标宋简体"/>
          <w:bCs/>
          <w:spacing w:val="-6"/>
          <w:kern w:val="0"/>
          <w:sz w:val="48"/>
          <w:szCs w:val="48"/>
        </w:rPr>
      </w:pP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第一章 采购邀请函</w:t>
      </w: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第二章 企业须知</w:t>
      </w: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第三章 企业申报资料</w:t>
      </w:r>
    </w:p>
    <w:p>
      <w:pPr>
        <w:tabs>
          <w:tab w:val="left" w:pos="1365"/>
          <w:tab w:val="left" w:pos="1785"/>
        </w:tabs>
        <w:spacing w:line="600" w:lineRule="exact"/>
        <w:jc w:val="center"/>
        <w:outlineLvl w:val="0"/>
        <w:rPr>
          <w:rFonts w:ascii="仿宋" w:hAnsi="仿宋" w:eastAsia="仿宋"/>
          <w:b/>
          <w:spacing w:val="-20"/>
          <w:sz w:val="32"/>
          <w:szCs w:val="32"/>
        </w:rPr>
      </w:pPr>
    </w:p>
    <w:p>
      <w:pPr>
        <w:tabs>
          <w:tab w:val="left" w:pos="1365"/>
          <w:tab w:val="left" w:pos="1785"/>
        </w:tabs>
        <w:spacing w:line="600" w:lineRule="exact"/>
        <w:jc w:val="center"/>
        <w:outlineLvl w:val="0"/>
        <w:rPr>
          <w:rFonts w:ascii="仿宋" w:hAnsi="仿宋" w:eastAsia="仿宋"/>
          <w:b/>
          <w:spacing w:val="-20"/>
          <w:sz w:val="32"/>
          <w:szCs w:val="32"/>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tabs>
          <w:tab w:val="left" w:pos="1365"/>
          <w:tab w:val="left" w:pos="1785"/>
        </w:tabs>
        <w:spacing w:line="600" w:lineRule="exact"/>
        <w:jc w:val="center"/>
        <w:outlineLvl w:val="0"/>
        <w:rPr>
          <w:rFonts w:ascii="仿宋" w:hAnsi="仿宋" w:eastAsia="仿宋"/>
          <w:b/>
          <w:spacing w:val="-20"/>
          <w:sz w:val="44"/>
          <w:szCs w:val="44"/>
        </w:rPr>
      </w:pPr>
    </w:p>
    <w:p>
      <w:pPr>
        <w:spacing w:line="800" w:lineRule="exact"/>
        <w:jc w:val="center"/>
        <w:rPr>
          <w:rFonts w:ascii="方正小标宋简体" w:hAnsi="方正小标宋简体" w:eastAsia="方正小标宋简体" w:cs="方正小标宋简体"/>
          <w:bCs/>
          <w:spacing w:val="-6"/>
          <w:kern w:val="0"/>
          <w:sz w:val="48"/>
          <w:szCs w:val="48"/>
        </w:rPr>
      </w:pPr>
    </w:p>
    <w:p>
      <w:pPr>
        <w:spacing w:line="800" w:lineRule="exact"/>
        <w:jc w:val="center"/>
        <w:rPr>
          <w:rFonts w:ascii="方正小标宋简体" w:hAnsi="方正小标宋简体" w:eastAsia="方正小标宋简体" w:cs="方正小标宋简体"/>
          <w:bCs/>
          <w:spacing w:val="-6"/>
          <w:kern w:val="0"/>
          <w:sz w:val="48"/>
          <w:szCs w:val="48"/>
        </w:rPr>
      </w:pPr>
      <w:r>
        <w:rPr>
          <w:rFonts w:hint="eastAsia" w:ascii="方正小标宋简体" w:hAnsi="方正小标宋简体" w:eastAsia="方正小标宋简体" w:cs="方正小标宋简体"/>
          <w:bCs/>
          <w:spacing w:val="-6"/>
          <w:kern w:val="0"/>
          <w:sz w:val="48"/>
          <w:szCs w:val="48"/>
        </w:rPr>
        <w:t>第一章  采购邀请函</w:t>
      </w:r>
    </w:p>
    <w:p>
      <w:pPr>
        <w:spacing w:line="800" w:lineRule="exact"/>
        <w:jc w:val="center"/>
        <w:rPr>
          <w:rFonts w:ascii="方正小标宋简体" w:hAnsi="方正小标宋简体" w:eastAsia="方正小标宋简体" w:cs="方正小标宋简体"/>
          <w:bCs/>
          <w:spacing w:val="-6"/>
          <w:kern w:val="0"/>
          <w:sz w:val="48"/>
          <w:szCs w:val="48"/>
        </w:rPr>
      </w:pPr>
    </w:p>
    <w:p>
      <w:pPr>
        <w:spacing w:line="600" w:lineRule="exact"/>
        <w:rPr>
          <w:rFonts w:ascii="仿宋" w:hAnsi="仿宋" w:eastAsia="仿宋" w:cs="仿宋"/>
          <w:b/>
          <w:bCs/>
          <w:spacing w:val="-20"/>
          <w:sz w:val="32"/>
          <w:szCs w:val="32"/>
        </w:rPr>
      </w:pPr>
      <w:r>
        <w:rPr>
          <w:rFonts w:hint="eastAsia" w:ascii="仿宋" w:hAnsi="仿宋" w:eastAsia="仿宋" w:cs="仿宋"/>
          <w:b/>
          <w:bCs/>
          <w:spacing w:val="-20"/>
          <w:sz w:val="32"/>
          <w:szCs w:val="32"/>
        </w:rPr>
        <w:t>各相关国内心脏起搏器生产企业、进口心脏起搏器国内总代理商：</w:t>
      </w: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联盟省（区、兵团）心脏起搏器</w:t>
      </w:r>
      <w:r>
        <w:rPr>
          <w:rFonts w:hint="eastAsia" w:ascii="仿宋_GB2312" w:hAnsi="仿宋_GB2312" w:eastAsia="仿宋_GB2312" w:cs="仿宋_GB2312"/>
          <w:spacing w:val="-20"/>
          <w:sz w:val="32"/>
          <w:szCs w:val="32"/>
          <w:lang w:val="en-US" w:eastAsia="zh-CN"/>
        </w:rPr>
        <w:t>集中</w:t>
      </w:r>
      <w:r>
        <w:rPr>
          <w:rFonts w:hint="eastAsia" w:ascii="仿宋_GB2312" w:hAnsi="仿宋_GB2312" w:eastAsia="仿宋_GB2312" w:cs="仿宋_GB2312"/>
          <w:spacing w:val="-20"/>
          <w:sz w:val="32"/>
          <w:szCs w:val="32"/>
        </w:rPr>
        <w:t>带量采购工作自即日起开始实施，欢迎符合条件的国内双腔起搏器生产企业、进口双腔起搏器国内总代理商前来参与。</w:t>
      </w:r>
    </w:p>
    <w:p>
      <w:pPr>
        <w:spacing w:line="600" w:lineRule="exact"/>
        <w:ind w:firstLine="560" w:firstLineChars="200"/>
        <w:rPr>
          <w:rFonts w:hint="eastAsia" w:ascii="仿宋_GB2312" w:hAnsi="仿宋_GB2312" w:eastAsia="仿宋_GB2312" w:cs="仿宋_GB2312"/>
          <w:spacing w:val="-20"/>
          <w:sz w:val="32"/>
          <w:szCs w:val="32"/>
          <w:lang w:val="en-US" w:eastAsia="zh-CN"/>
        </w:rPr>
      </w:pPr>
      <w:r>
        <w:rPr>
          <w:rFonts w:hint="eastAsia" w:ascii="仿宋" w:hAnsi="仿宋" w:eastAsia="仿宋" w:cs="仿宋"/>
          <w:b/>
          <w:bCs/>
          <w:color w:val="auto"/>
          <w:spacing w:val="-20"/>
          <w:sz w:val="32"/>
          <w:szCs w:val="32"/>
          <w:lang w:val="en-US" w:eastAsia="zh-CN"/>
        </w:rPr>
        <w:t>一、</w:t>
      </w:r>
      <w:r>
        <w:rPr>
          <w:rFonts w:hint="eastAsia" w:ascii="仿宋" w:hAnsi="仿宋" w:eastAsia="仿宋" w:cs="仿宋"/>
          <w:b/>
          <w:bCs/>
          <w:color w:val="auto"/>
          <w:spacing w:val="-20"/>
          <w:sz w:val="32"/>
          <w:szCs w:val="32"/>
        </w:rPr>
        <w:t>采购产品：</w:t>
      </w:r>
      <w:r>
        <w:rPr>
          <w:rFonts w:hint="eastAsia" w:ascii="仿宋_GB2312" w:hAnsi="仿宋_GB2312" w:eastAsia="仿宋_GB2312" w:cs="仿宋_GB2312"/>
          <w:spacing w:val="-20"/>
          <w:sz w:val="32"/>
          <w:szCs w:val="32"/>
        </w:rPr>
        <w:t>本次集中带量采购品种范围为获得中华人民共和国医疗器械注册证的上市双腔起搏器</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不含远程监控设备</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具体要求如下：</w:t>
      </w:r>
    </w:p>
    <w:p>
      <w:pPr>
        <w:spacing w:line="600" w:lineRule="exact"/>
        <w:ind w:firstLine="560" w:firstLineChars="200"/>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val="en-US" w:eastAsia="zh-CN"/>
        </w:rPr>
        <w:t>1.</w:t>
      </w:r>
      <w:r>
        <w:rPr>
          <w:rFonts w:hint="eastAsia" w:ascii="仿宋_GB2312" w:hAnsi="仿宋_GB2312" w:eastAsia="仿宋_GB2312" w:cs="仿宋_GB2312"/>
          <w:spacing w:val="-20"/>
          <w:sz w:val="32"/>
          <w:szCs w:val="32"/>
        </w:rPr>
        <w:t>全国省级（含联盟）集中带量采购</w:t>
      </w:r>
      <w:r>
        <w:rPr>
          <w:rFonts w:hint="eastAsia" w:ascii="仿宋_GB2312" w:hAnsi="仿宋_GB2312" w:eastAsia="仿宋_GB2312" w:cs="仿宋_GB2312"/>
          <w:spacing w:val="-20"/>
          <w:sz w:val="32"/>
          <w:szCs w:val="32"/>
          <w:lang w:val="en-US" w:eastAsia="zh-CN"/>
        </w:rPr>
        <w:t>已中选产品</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含远程监控设备中选产品的基础款</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必须参加本次带量采购</w:t>
      </w:r>
      <w:r>
        <w:rPr>
          <w:rFonts w:hint="eastAsia" w:ascii="仿宋_GB2312" w:hAnsi="仿宋_GB2312" w:eastAsia="仿宋_GB2312" w:cs="仿宋_GB2312"/>
          <w:spacing w:val="-20"/>
          <w:sz w:val="32"/>
          <w:szCs w:val="32"/>
          <w:lang w:eastAsia="zh-CN"/>
        </w:rPr>
        <w:t>；</w:t>
      </w:r>
    </w:p>
    <w:p>
      <w:pPr>
        <w:spacing w:line="600" w:lineRule="exact"/>
        <w:ind w:firstLine="560" w:firstLineChars="2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2.对必须参加而不参加的产品，联盟省份将在执行本次省际联盟带量采购中选结果时，由各联盟省份撤销其挂网资格；</w:t>
      </w:r>
    </w:p>
    <w:p>
      <w:pPr>
        <w:spacing w:line="600" w:lineRule="exact"/>
        <w:ind w:firstLine="560" w:firstLineChars="200"/>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3.其它产品可自愿参加。</w:t>
      </w:r>
    </w:p>
    <w:p>
      <w:pPr>
        <w:spacing w:line="600" w:lineRule="exact"/>
        <w:ind w:firstLine="560" w:firstLineChars="200"/>
        <w:rPr>
          <w:rFonts w:ascii="仿宋" w:hAnsi="仿宋" w:eastAsia="仿宋" w:cs="仿宋"/>
          <w:spacing w:val="-20"/>
          <w:sz w:val="32"/>
          <w:szCs w:val="32"/>
        </w:rPr>
      </w:pPr>
      <w:r>
        <w:rPr>
          <w:rFonts w:hint="eastAsia" w:ascii="仿宋" w:hAnsi="仿宋" w:eastAsia="仿宋" w:cs="仿宋"/>
          <w:b/>
          <w:bCs/>
          <w:color w:val="auto"/>
          <w:spacing w:val="-20"/>
          <w:sz w:val="32"/>
          <w:szCs w:val="32"/>
        </w:rPr>
        <w:t>二、采购实施范围：</w:t>
      </w:r>
      <w:r>
        <w:rPr>
          <w:rFonts w:hint="eastAsia" w:ascii="仿宋_GB2312" w:hAnsi="仿宋_GB2312" w:eastAsia="仿宋_GB2312" w:cs="仿宋_GB2312"/>
          <w:spacing w:val="-20"/>
          <w:sz w:val="32"/>
          <w:szCs w:val="32"/>
        </w:rPr>
        <w:t>联盟省（区、兵团）开展心脏起搏器手术的公立医疗机构（含军队医院）（以下简称“医疗机构”）全部参加；医保定点社会办医疗机构自愿参加。</w:t>
      </w:r>
    </w:p>
    <w:p>
      <w:pPr>
        <w:spacing w:line="600" w:lineRule="exact"/>
        <w:ind w:firstLine="560" w:firstLineChars="200"/>
        <w:rPr>
          <w:rFonts w:ascii="仿宋" w:hAnsi="仿宋" w:eastAsia="仿宋" w:cs="仿宋"/>
          <w:spacing w:val="-20"/>
          <w:sz w:val="32"/>
          <w:szCs w:val="32"/>
        </w:rPr>
      </w:pPr>
      <w:r>
        <w:rPr>
          <w:rFonts w:hint="eastAsia" w:ascii="仿宋" w:hAnsi="仿宋" w:eastAsia="仿宋" w:cs="仿宋"/>
          <w:b/>
          <w:bCs/>
          <w:spacing w:val="-20"/>
          <w:sz w:val="32"/>
          <w:szCs w:val="32"/>
        </w:rPr>
        <w:t>三、申报人：</w:t>
      </w:r>
      <w:r>
        <w:rPr>
          <w:rFonts w:hint="eastAsia" w:ascii="仿宋_GB2312" w:hAnsi="仿宋_GB2312" w:eastAsia="仿宋_GB2312" w:cs="仿宋_GB2312"/>
          <w:spacing w:val="-20"/>
          <w:sz w:val="32"/>
          <w:szCs w:val="32"/>
        </w:rPr>
        <w:t>已取得双腔起搏器产品合法资质的医疗器械注册人（备案人），在质量标准、生产能力、供应稳定性、企业信用等方面达到集中带量釆购要求的均可参加。境外医疗器械注册人（备案人）应当指定我国境内企业法人协助其履行相应的法律义务。</w:t>
      </w:r>
    </w:p>
    <w:p>
      <w:pPr>
        <w:spacing w:line="600" w:lineRule="exact"/>
        <w:ind w:firstLine="560" w:firstLineChars="200"/>
        <w:rPr>
          <w:rFonts w:hint="eastAsia" w:ascii="仿宋" w:hAnsi="仿宋" w:eastAsia="仿宋" w:cs="仿宋"/>
          <w:spacing w:val="-20"/>
          <w:sz w:val="32"/>
          <w:szCs w:val="32"/>
        </w:rPr>
      </w:pPr>
      <w:r>
        <w:rPr>
          <w:rFonts w:hint="eastAsia" w:ascii="仿宋" w:hAnsi="仿宋" w:eastAsia="仿宋" w:cs="仿宋"/>
          <w:b/>
          <w:bCs/>
          <w:spacing w:val="-20"/>
          <w:sz w:val="32"/>
          <w:szCs w:val="32"/>
        </w:rPr>
        <w:t>四、约定采购量：</w:t>
      </w:r>
      <w:r>
        <w:rPr>
          <w:rFonts w:hint="eastAsia" w:ascii="仿宋_GB2312" w:hAnsi="仿宋_GB2312" w:eastAsia="仿宋_GB2312" w:cs="仿宋_GB2312"/>
          <w:spacing w:val="-20"/>
          <w:sz w:val="32"/>
          <w:szCs w:val="32"/>
        </w:rPr>
        <w:t>医疗机构结合临床使用状况、医疗技术进步等因素，根据企业申报的产品填报未来一年的</w:t>
      </w:r>
      <w:r>
        <w:rPr>
          <w:rFonts w:hint="eastAsia" w:ascii="仿宋_GB2312" w:hAnsi="仿宋_GB2312" w:eastAsia="仿宋_GB2312" w:cs="仿宋_GB2312"/>
          <w:spacing w:val="-20"/>
          <w:sz w:val="32"/>
          <w:szCs w:val="32"/>
          <w:lang w:val="en-US" w:eastAsia="zh-CN"/>
        </w:rPr>
        <w:t>全部</w:t>
      </w:r>
      <w:r>
        <w:rPr>
          <w:rFonts w:hint="eastAsia" w:ascii="仿宋_GB2312" w:hAnsi="仿宋_GB2312" w:eastAsia="仿宋_GB2312" w:cs="仿宋_GB2312"/>
          <w:spacing w:val="-20"/>
          <w:sz w:val="32"/>
          <w:szCs w:val="32"/>
        </w:rPr>
        <w:t>采购需求量形成采购量基数，采购量基数的80%形成约定采购量。</w:t>
      </w:r>
    </w:p>
    <w:p>
      <w:pPr>
        <w:spacing w:line="600" w:lineRule="exact"/>
        <w:ind w:firstLine="560" w:firstLineChars="200"/>
        <w:rPr>
          <w:rFonts w:ascii="仿宋" w:hAnsi="仿宋" w:eastAsia="仿宋" w:cs="仿宋"/>
          <w:spacing w:val="-20"/>
          <w:sz w:val="32"/>
          <w:szCs w:val="32"/>
        </w:rPr>
      </w:pPr>
      <w:r>
        <w:rPr>
          <w:rFonts w:hint="eastAsia" w:ascii="仿宋" w:hAnsi="仿宋" w:eastAsia="仿宋" w:cs="仿宋"/>
          <w:b/>
          <w:bCs/>
          <w:spacing w:val="-20"/>
          <w:sz w:val="32"/>
          <w:szCs w:val="32"/>
        </w:rPr>
        <w:t>五、竞价分组：</w:t>
      </w:r>
      <w:r>
        <w:rPr>
          <w:rFonts w:hint="eastAsia" w:ascii="仿宋_GB2312" w:hAnsi="仿宋_GB2312" w:eastAsia="仿宋_GB2312" w:cs="仿宋_GB2312"/>
          <w:spacing w:val="-20"/>
          <w:sz w:val="32"/>
          <w:szCs w:val="32"/>
        </w:rPr>
        <w:t>本次带量采购分为全身兼容MRI、</w:t>
      </w:r>
      <w:r>
        <w:rPr>
          <w:rFonts w:hint="eastAsia" w:ascii="仿宋_GB2312" w:hAnsi="仿宋_GB2312" w:eastAsia="仿宋_GB2312" w:cs="仿宋_GB2312"/>
          <w:spacing w:val="-20"/>
          <w:sz w:val="32"/>
          <w:szCs w:val="32"/>
          <w:lang w:eastAsia="zh-CN"/>
        </w:rPr>
        <w:t>非全身</w:t>
      </w:r>
      <w:r>
        <w:rPr>
          <w:rFonts w:hint="eastAsia" w:ascii="仿宋_GB2312" w:hAnsi="仿宋_GB2312" w:eastAsia="仿宋_GB2312" w:cs="仿宋_GB2312"/>
          <w:spacing w:val="-20"/>
          <w:sz w:val="32"/>
          <w:szCs w:val="32"/>
        </w:rPr>
        <w:t>兼容MRI、非兼容MRI(省际联盟需求量占比≥</w:t>
      </w:r>
      <w:r>
        <w:rPr>
          <w:rFonts w:hint="eastAsia" w:ascii="仿宋_GB2312" w:hAnsi="仿宋_GB2312" w:eastAsia="仿宋_GB2312" w:cs="仿宋_GB2312"/>
          <w:spacing w:val="-20"/>
          <w:sz w:val="32"/>
          <w:szCs w:val="32"/>
          <w:lang w:val="en-US" w:eastAsia="zh-CN"/>
        </w:rPr>
        <w:t>7</w:t>
      </w:r>
      <w:r>
        <w:rPr>
          <w:rFonts w:hint="eastAsia" w:ascii="仿宋_GB2312" w:hAnsi="仿宋_GB2312" w:eastAsia="仿宋_GB2312" w:cs="仿宋_GB2312"/>
          <w:spacing w:val="-20"/>
          <w:sz w:val="32"/>
          <w:szCs w:val="32"/>
        </w:rPr>
        <w:t>%)、非兼容MRI(省际联盟需求量占比&lt;</w:t>
      </w:r>
      <w:r>
        <w:rPr>
          <w:rFonts w:hint="eastAsia" w:ascii="仿宋_GB2312" w:hAnsi="仿宋_GB2312" w:eastAsia="仿宋_GB2312" w:cs="仿宋_GB2312"/>
          <w:spacing w:val="-20"/>
          <w:sz w:val="32"/>
          <w:szCs w:val="32"/>
          <w:lang w:val="en-US" w:eastAsia="zh-CN"/>
        </w:rPr>
        <w:t>7</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四</w:t>
      </w:r>
      <w:r>
        <w:rPr>
          <w:rFonts w:hint="eastAsia" w:ascii="仿宋_GB2312" w:hAnsi="仿宋_GB2312" w:eastAsia="仿宋_GB2312" w:cs="仿宋_GB2312"/>
          <w:spacing w:val="-20"/>
          <w:sz w:val="32"/>
          <w:szCs w:val="32"/>
        </w:rPr>
        <w:t>个组开展采购。</w:t>
      </w:r>
    </w:p>
    <w:p>
      <w:pPr>
        <w:spacing w:line="600" w:lineRule="exact"/>
        <w:ind w:firstLine="560" w:firstLineChars="200"/>
        <w:rPr>
          <w:rFonts w:hint="eastAsia" w:ascii="仿宋" w:hAnsi="仿宋" w:eastAsia="仿宋" w:cs="仿宋"/>
          <w:color w:val="auto"/>
          <w:spacing w:val="-20"/>
          <w:sz w:val="32"/>
          <w:szCs w:val="32"/>
        </w:rPr>
      </w:pPr>
      <w:r>
        <w:rPr>
          <w:rFonts w:hint="eastAsia" w:ascii="仿宋" w:hAnsi="仿宋" w:eastAsia="仿宋" w:cs="仿宋"/>
          <w:b/>
          <w:bCs/>
          <w:spacing w:val="-20"/>
          <w:sz w:val="32"/>
          <w:szCs w:val="32"/>
        </w:rPr>
        <w:t>六、采购周期：</w:t>
      </w:r>
      <w:r>
        <w:rPr>
          <w:rFonts w:hint="eastAsia" w:ascii="仿宋_GB2312" w:hAnsi="仿宋_GB2312" w:eastAsia="仿宋_GB2312" w:cs="仿宋_GB2312"/>
          <w:spacing w:val="-20"/>
          <w:sz w:val="32"/>
          <w:szCs w:val="32"/>
        </w:rPr>
        <w:t>本次双腔起搏器集中带量釆购周期为2年, 以联盟各地区中选结果实际执行日起计算。</w:t>
      </w:r>
    </w:p>
    <w:p>
      <w:pPr>
        <w:spacing w:line="600" w:lineRule="exact"/>
        <w:ind w:firstLine="560" w:firstLineChars="200"/>
        <w:rPr>
          <w:rFonts w:hint="eastAsia" w:ascii="仿宋" w:hAnsi="仿宋" w:eastAsia="仿宋" w:cs="仿宋"/>
          <w:color w:val="auto"/>
          <w:spacing w:val="-20"/>
          <w:sz w:val="32"/>
          <w:szCs w:val="32"/>
          <w:lang w:eastAsia="zh-CN"/>
        </w:rPr>
      </w:pPr>
      <w:r>
        <w:rPr>
          <w:rFonts w:hint="eastAsia" w:ascii="仿宋" w:hAnsi="仿宋" w:eastAsia="仿宋" w:cs="仿宋"/>
          <w:b/>
          <w:bCs/>
          <w:color w:val="auto"/>
          <w:spacing w:val="-20"/>
          <w:sz w:val="32"/>
          <w:szCs w:val="32"/>
          <w:lang w:eastAsia="zh-CN"/>
        </w:rPr>
        <w:t>七、价格联动：</w:t>
      </w:r>
      <w:r>
        <w:rPr>
          <w:rFonts w:hint="eastAsia" w:ascii="仿宋_GB2312" w:hAnsi="仿宋_GB2312" w:eastAsia="仿宋_GB2312" w:cs="仿宋_GB2312"/>
          <w:spacing w:val="-20"/>
          <w:sz w:val="32"/>
          <w:szCs w:val="32"/>
          <w:lang w:eastAsia="zh-CN"/>
        </w:rPr>
        <w:t>采购周期内，如其他地区带量采购中选价格比本次带量采购中选价格低的，尚未执行约定合同量实行价格联动。</w:t>
      </w:r>
    </w:p>
    <w:p>
      <w:pPr>
        <w:spacing w:line="600" w:lineRule="exact"/>
        <w:ind w:firstLine="560" w:firstLineChars="200"/>
        <w:rPr>
          <w:rFonts w:ascii="仿宋" w:hAnsi="仿宋" w:eastAsia="仿宋" w:cs="仿宋"/>
          <w:color w:val="auto"/>
          <w:spacing w:val="-20"/>
          <w:sz w:val="32"/>
          <w:szCs w:val="32"/>
        </w:rPr>
      </w:pPr>
      <w:r>
        <w:rPr>
          <w:rFonts w:hint="eastAsia" w:ascii="仿宋" w:hAnsi="仿宋" w:eastAsia="仿宋" w:cs="仿宋"/>
          <w:b/>
          <w:bCs/>
          <w:color w:val="auto"/>
          <w:spacing w:val="-20"/>
          <w:sz w:val="32"/>
          <w:szCs w:val="32"/>
        </w:rPr>
        <w:t>八、采购方式：</w:t>
      </w:r>
      <w:r>
        <w:rPr>
          <w:rFonts w:hint="eastAsia" w:ascii="仿宋_GB2312" w:hAnsi="仿宋_GB2312" w:eastAsia="仿宋_GB2312" w:cs="仿宋_GB2312"/>
          <w:spacing w:val="-20"/>
          <w:sz w:val="32"/>
          <w:szCs w:val="32"/>
        </w:rPr>
        <w:t>根据确定的采购品种及其在联盟省（区、 兵团）医疗机构需求量，组织联盟省（区、兵团）医疗机构集中带量采购，确定中选生产企业品种和价格。</w:t>
      </w:r>
    </w:p>
    <w:p>
      <w:pPr>
        <w:spacing w:line="600" w:lineRule="exact"/>
        <w:ind w:firstLine="560" w:firstLineChars="200"/>
        <w:rPr>
          <w:rFonts w:ascii="仿宋" w:hAnsi="仿宋" w:eastAsia="仿宋" w:cs="仿宋"/>
          <w:spacing w:val="-20"/>
          <w:sz w:val="32"/>
          <w:szCs w:val="32"/>
        </w:rPr>
      </w:pPr>
      <w:r>
        <w:rPr>
          <w:rFonts w:hint="eastAsia" w:ascii="仿宋" w:hAnsi="仿宋" w:eastAsia="仿宋" w:cs="仿宋"/>
          <w:b/>
          <w:bCs/>
          <w:spacing w:val="-20"/>
          <w:sz w:val="32"/>
          <w:szCs w:val="32"/>
        </w:rPr>
        <w:t>九、相关信息获取办法：</w:t>
      </w:r>
      <w:r>
        <w:rPr>
          <w:rFonts w:hint="eastAsia" w:ascii="仿宋_GB2312" w:hAnsi="仿宋_GB2312" w:eastAsia="仿宋_GB2312" w:cs="仿宋_GB2312"/>
          <w:spacing w:val="-20"/>
          <w:sz w:val="32"/>
          <w:szCs w:val="32"/>
        </w:rPr>
        <w:t>通过陕西省药械集中采购平台(http://www.sxsyxcg.com)下载。</w:t>
      </w:r>
    </w:p>
    <w:p>
      <w:pPr>
        <w:spacing w:line="600" w:lineRule="exact"/>
        <w:ind w:firstLine="560" w:firstLineChars="200"/>
        <w:rPr>
          <w:rFonts w:ascii="仿宋" w:hAnsi="仿宋" w:eastAsia="仿宋" w:cs="仿宋"/>
          <w:spacing w:val="-20"/>
          <w:sz w:val="32"/>
          <w:szCs w:val="32"/>
        </w:rPr>
      </w:pPr>
      <w:r>
        <w:rPr>
          <w:rFonts w:hint="eastAsia" w:ascii="仿宋" w:hAnsi="仿宋" w:eastAsia="仿宋" w:cs="仿宋"/>
          <w:b/>
          <w:bCs/>
          <w:spacing w:val="-20"/>
          <w:sz w:val="32"/>
          <w:szCs w:val="32"/>
        </w:rPr>
        <w:t>十、报名方法：</w:t>
      </w:r>
      <w:r>
        <w:rPr>
          <w:rFonts w:hint="eastAsia" w:ascii="仿宋_GB2312" w:hAnsi="仿宋_GB2312" w:eastAsia="仿宋_GB2312" w:cs="仿宋_GB2312"/>
          <w:spacing w:val="-20"/>
          <w:sz w:val="32"/>
          <w:szCs w:val="32"/>
        </w:rPr>
        <w:fldChar w:fldCharType="begin"/>
      </w:r>
      <w:r>
        <w:rPr>
          <w:rFonts w:hint="eastAsia" w:ascii="仿宋_GB2312" w:hAnsi="仿宋_GB2312" w:eastAsia="仿宋_GB2312" w:cs="仿宋_GB2312"/>
          <w:spacing w:val="-20"/>
          <w:sz w:val="32"/>
          <w:szCs w:val="32"/>
        </w:rPr>
        <w:instrText xml:space="preserve"> HYPERLINK "mailto:申报企业按采购文件要求提供相关证明材料（详见采购文件第三章企业须知）电子版扫描件至指定邮箱sxshccg@163.com完成报名" </w:instrText>
      </w:r>
      <w:r>
        <w:rPr>
          <w:rFonts w:hint="eastAsia" w:ascii="仿宋_GB2312" w:hAnsi="仿宋_GB2312" w:eastAsia="仿宋_GB2312" w:cs="仿宋_GB2312"/>
          <w:spacing w:val="-20"/>
          <w:sz w:val="32"/>
          <w:szCs w:val="32"/>
        </w:rPr>
        <w:fldChar w:fldCharType="separate"/>
      </w:r>
      <w:r>
        <w:rPr>
          <w:rFonts w:hint="eastAsia" w:ascii="仿宋_GB2312" w:hAnsi="仿宋_GB2312" w:eastAsia="仿宋_GB2312" w:cs="仿宋_GB2312"/>
          <w:spacing w:val="-20"/>
          <w:sz w:val="32"/>
          <w:szCs w:val="32"/>
        </w:rPr>
        <w:t>申报企业按采购文件要求提供相关证明材料（详见采购文件第二章企业须知）现场报名</w:t>
      </w:r>
      <w:r>
        <w:rPr>
          <w:rFonts w:hint="eastAsia" w:ascii="仿宋_GB2312" w:hAnsi="仿宋_GB2312" w:eastAsia="仿宋_GB2312" w:cs="仿宋_GB2312"/>
          <w:spacing w:val="-20"/>
          <w:sz w:val="32"/>
          <w:szCs w:val="32"/>
        </w:rPr>
        <w:fldChar w:fldCharType="end"/>
      </w:r>
      <w:r>
        <w:rPr>
          <w:rFonts w:hint="eastAsia" w:ascii="仿宋_GB2312" w:hAnsi="仿宋_GB2312" w:eastAsia="仿宋_GB2312" w:cs="仿宋_GB2312"/>
          <w:spacing w:val="-20"/>
          <w:sz w:val="32"/>
          <w:szCs w:val="32"/>
        </w:rPr>
        <w:t>。</w:t>
      </w:r>
    </w:p>
    <w:p>
      <w:pPr>
        <w:spacing w:line="600" w:lineRule="exact"/>
        <w:ind w:firstLine="560" w:firstLineChars="200"/>
        <w:rPr>
          <w:rFonts w:hint="eastAsia" w:ascii="仿宋" w:hAnsi="仿宋" w:eastAsia="仿宋" w:cs="仿宋"/>
          <w:spacing w:val="-20"/>
          <w:sz w:val="32"/>
          <w:szCs w:val="32"/>
        </w:rPr>
      </w:pPr>
      <w:r>
        <w:rPr>
          <w:rFonts w:hint="eastAsia" w:ascii="仿宋" w:hAnsi="仿宋" w:eastAsia="仿宋" w:cs="仿宋"/>
          <w:b/>
          <w:bCs/>
          <w:spacing w:val="-20"/>
          <w:sz w:val="32"/>
          <w:szCs w:val="32"/>
          <w:lang w:val="en-US" w:eastAsia="zh-CN"/>
        </w:rPr>
        <w:t>十一</w:t>
      </w:r>
      <w:r>
        <w:rPr>
          <w:rFonts w:hint="eastAsia" w:ascii="仿宋" w:hAnsi="仿宋" w:eastAsia="仿宋" w:cs="仿宋"/>
          <w:b/>
          <w:bCs/>
          <w:spacing w:val="-20"/>
          <w:sz w:val="32"/>
          <w:szCs w:val="32"/>
        </w:rPr>
        <w:t>、申报材料递交：</w:t>
      </w:r>
      <w:r>
        <w:rPr>
          <w:rFonts w:hint="eastAsia" w:ascii="仿宋_GB2312" w:hAnsi="仿宋_GB2312" w:eastAsia="仿宋_GB2312" w:cs="仿宋_GB2312"/>
          <w:spacing w:val="-20"/>
          <w:sz w:val="32"/>
          <w:szCs w:val="32"/>
        </w:rPr>
        <w:t>本次带量采购工作申报材料采取现场纸质方式递交，申报人按规定格式编制申报材料（详见第三章企业申报资料），并在规定的截止日期前提交。递交方式及时间如有变动，以“陕西省药械集中采购平台”通知为准。</w:t>
      </w:r>
    </w:p>
    <w:p>
      <w:pPr>
        <w:spacing w:line="600" w:lineRule="exact"/>
        <w:ind w:firstLine="560" w:firstLineChars="200"/>
        <w:rPr>
          <w:rFonts w:hint="eastAsia" w:ascii="仿宋" w:hAnsi="仿宋" w:eastAsia="仿宋" w:cs="仿宋"/>
          <w:b/>
          <w:bCs/>
          <w:spacing w:val="-20"/>
          <w:sz w:val="32"/>
          <w:szCs w:val="32"/>
          <w:lang w:val="en-US" w:eastAsia="zh-CN"/>
        </w:rPr>
      </w:pPr>
      <w:r>
        <w:rPr>
          <w:rFonts w:hint="eastAsia" w:ascii="仿宋" w:hAnsi="仿宋" w:eastAsia="仿宋" w:cs="仿宋"/>
          <w:b/>
          <w:bCs/>
          <w:spacing w:val="-20"/>
          <w:sz w:val="32"/>
          <w:szCs w:val="32"/>
        </w:rPr>
        <w:t>十</w:t>
      </w:r>
      <w:r>
        <w:rPr>
          <w:rFonts w:hint="eastAsia" w:ascii="仿宋" w:hAnsi="仿宋" w:eastAsia="仿宋" w:cs="仿宋"/>
          <w:b/>
          <w:bCs/>
          <w:spacing w:val="-20"/>
          <w:sz w:val="32"/>
          <w:szCs w:val="32"/>
          <w:lang w:val="en-US" w:eastAsia="zh-CN"/>
        </w:rPr>
        <w:t>二、最终解释权</w:t>
      </w:r>
    </w:p>
    <w:p>
      <w:pPr>
        <w:spacing w:line="600" w:lineRule="exact"/>
        <w:ind w:firstLine="560" w:firstLineChars="200"/>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本采购文件由陕西省公共资源交易中心负责解释。</w:t>
      </w:r>
    </w:p>
    <w:p>
      <w:pPr>
        <w:spacing w:line="600" w:lineRule="exact"/>
        <w:ind w:firstLine="560" w:firstLineChars="200"/>
        <w:rPr>
          <w:rFonts w:ascii="仿宋" w:hAnsi="仿宋" w:eastAsia="仿宋" w:cs="仿宋"/>
          <w:b/>
          <w:bCs/>
          <w:spacing w:val="-20"/>
          <w:sz w:val="32"/>
          <w:szCs w:val="32"/>
        </w:rPr>
      </w:pPr>
      <w:r>
        <w:rPr>
          <w:rFonts w:hint="eastAsia" w:ascii="仿宋" w:hAnsi="仿宋" w:eastAsia="仿宋" w:cs="仿宋"/>
          <w:b/>
          <w:bCs/>
          <w:spacing w:val="-20"/>
          <w:sz w:val="32"/>
          <w:szCs w:val="32"/>
          <w:lang w:eastAsia="zh-CN"/>
        </w:rPr>
        <w:t>十三</w:t>
      </w:r>
      <w:r>
        <w:rPr>
          <w:rFonts w:hint="eastAsia" w:ascii="仿宋" w:hAnsi="仿宋" w:eastAsia="仿宋" w:cs="仿宋"/>
          <w:b/>
          <w:bCs/>
          <w:spacing w:val="-20"/>
          <w:sz w:val="32"/>
          <w:szCs w:val="32"/>
        </w:rPr>
        <w:t>、工作机构</w:t>
      </w: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1.名称:陕西省公共资源交易中心</w:t>
      </w: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2.办公地址：西安市碑林区长安北路14号</w:t>
      </w: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3.邮编：710061</w:t>
      </w:r>
    </w:p>
    <w:p>
      <w:pPr>
        <w:spacing w:line="600" w:lineRule="exact"/>
        <w:ind w:firstLine="560" w:firstLineChars="200"/>
        <w:rPr>
          <w:rFonts w:hint="eastAsia" w:ascii="仿宋_GB2312" w:hAnsi="仿宋_GB2312" w:eastAsia="仿宋_GB2312" w:cs="仿宋_GB2312"/>
          <w:spacing w:val="-20"/>
          <w:sz w:val="32"/>
          <w:szCs w:val="32"/>
        </w:rPr>
      </w:pP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4.联系电话：029-88661308</w:t>
      </w:r>
    </w:p>
    <w:p>
      <w:pPr>
        <w:spacing w:line="600" w:lineRule="exact"/>
        <w:ind w:firstLine="560" w:firstLineChars="200"/>
        <w:rPr>
          <w:rFonts w:ascii="仿宋" w:hAnsi="仿宋" w:eastAsia="仿宋" w:cs="仿宋"/>
          <w:b/>
          <w:bCs/>
          <w:spacing w:val="-20"/>
          <w:sz w:val="32"/>
          <w:szCs w:val="32"/>
        </w:rPr>
      </w:pPr>
      <w:r>
        <w:rPr>
          <w:rFonts w:hint="eastAsia" w:ascii="仿宋" w:hAnsi="仿宋" w:eastAsia="仿宋" w:cs="仿宋"/>
          <w:b/>
          <w:bCs/>
          <w:spacing w:val="-20"/>
          <w:sz w:val="32"/>
          <w:szCs w:val="32"/>
        </w:rPr>
        <w:t>十</w:t>
      </w:r>
      <w:r>
        <w:rPr>
          <w:rFonts w:hint="eastAsia" w:ascii="仿宋" w:hAnsi="仿宋" w:eastAsia="仿宋" w:cs="仿宋"/>
          <w:b/>
          <w:bCs/>
          <w:spacing w:val="-20"/>
          <w:sz w:val="32"/>
          <w:szCs w:val="32"/>
          <w:lang w:val="en-US" w:eastAsia="zh-CN"/>
        </w:rPr>
        <w:t>四</w:t>
      </w:r>
      <w:r>
        <w:rPr>
          <w:rFonts w:hint="eastAsia" w:ascii="仿宋" w:hAnsi="仿宋" w:eastAsia="仿宋" w:cs="仿宋"/>
          <w:b/>
          <w:bCs/>
          <w:spacing w:val="-20"/>
          <w:sz w:val="32"/>
          <w:szCs w:val="32"/>
        </w:rPr>
        <w:t>、监督机构</w:t>
      </w:r>
    </w:p>
    <w:p>
      <w:pPr>
        <w:spacing w:line="60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1.监督组由纪检部门相关人员组成，负责心脏起搏器集中带量采购工作的全程监督。</w:t>
      </w:r>
    </w:p>
    <w:p>
      <w:pPr>
        <w:spacing w:line="600" w:lineRule="exact"/>
        <w:ind w:firstLine="560" w:firstLineChars="200"/>
        <w:rPr>
          <w:rFonts w:ascii="仿宋" w:hAnsi="仿宋" w:eastAsia="仿宋" w:cs="仿宋"/>
          <w:spacing w:val="-20"/>
          <w:sz w:val="32"/>
          <w:szCs w:val="32"/>
        </w:rPr>
      </w:pPr>
    </w:p>
    <w:p>
      <w:pPr>
        <w:spacing w:line="600" w:lineRule="exact"/>
        <w:ind w:firstLine="560" w:firstLineChars="200"/>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600" w:lineRule="exact"/>
        <w:rPr>
          <w:rFonts w:ascii="仿宋" w:hAnsi="仿宋" w:eastAsia="仿宋" w:cs="仿宋"/>
          <w:spacing w:val="-20"/>
          <w:sz w:val="32"/>
          <w:szCs w:val="32"/>
        </w:rPr>
      </w:pPr>
    </w:p>
    <w:p>
      <w:pPr>
        <w:spacing w:line="800" w:lineRule="exact"/>
        <w:jc w:val="center"/>
        <w:rPr>
          <w:rFonts w:ascii="方正小标宋简体" w:hAnsi="方正小标宋简体" w:eastAsia="方正小标宋简体" w:cs="方正小标宋简体"/>
          <w:bCs/>
          <w:spacing w:val="-6"/>
          <w:kern w:val="0"/>
          <w:sz w:val="48"/>
          <w:szCs w:val="48"/>
        </w:rPr>
      </w:pPr>
      <w:r>
        <w:rPr>
          <w:rFonts w:hint="eastAsia" w:ascii="方正小标宋简体" w:hAnsi="方正小标宋简体" w:eastAsia="方正小标宋简体" w:cs="方正小标宋简体"/>
          <w:bCs/>
          <w:spacing w:val="-6"/>
          <w:kern w:val="0"/>
          <w:sz w:val="48"/>
          <w:szCs w:val="48"/>
        </w:rPr>
        <w:t>第二章  企业须知</w:t>
      </w:r>
    </w:p>
    <w:p>
      <w:pPr>
        <w:spacing w:line="500" w:lineRule="exact"/>
        <w:ind w:firstLine="420" w:firstLineChars="200"/>
        <w:rPr>
          <w:rFonts w:hint="eastAsia" w:ascii="仿宋_GB2312" w:hAnsi="仿宋_GB2312" w:eastAsia="仿宋_GB2312" w:cs="仿宋_GB2312"/>
          <w:color w:val="000000"/>
        </w:rPr>
      </w:pPr>
    </w:p>
    <w:tbl>
      <w:tblPr>
        <w:tblStyle w:val="9"/>
        <w:tblpPr w:leftFromText="180" w:rightFromText="180" w:vertAnchor="text" w:tblpY="177"/>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2"/>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736" w:type="dxa"/>
            <w:noWrap/>
            <w:vAlign w:val="center"/>
          </w:tcPr>
          <w:p>
            <w:pPr>
              <w:spacing w:line="500" w:lineRule="exact"/>
              <w:jc w:val="center"/>
              <w:rPr>
                <w:rFonts w:hint="eastAsia" w:ascii="黑体" w:hAnsi="黑体" w:eastAsia="黑体" w:cs="黑体"/>
                <w:color w:val="000000"/>
              </w:rPr>
            </w:pPr>
            <w:r>
              <w:rPr>
                <w:rFonts w:hint="eastAsia" w:ascii="黑体" w:hAnsi="黑体" w:eastAsia="黑体" w:cs="黑体"/>
                <w:color w:val="000000"/>
              </w:rPr>
              <w:t>序号</w:t>
            </w:r>
          </w:p>
        </w:tc>
        <w:tc>
          <w:tcPr>
            <w:tcW w:w="1782" w:type="dxa"/>
            <w:noWrap/>
            <w:vAlign w:val="center"/>
          </w:tcPr>
          <w:p>
            <w:pPr>
              <w:spacing w:line="500" w:lineRule="exact"/>
              <w:ind w:firstLine="420" w:firstLineChars="200"/>
              <w:jc w:val="both"/>
              <w:rPr>
                <w:rFonts w:hint="eastAsia" w:ascii="黑体" w:hAnsi="黑体" w:eastAsia="黑体" w:cs="黑体"/>
                <w:color w:val="000000"/>
              </w:rPr>
            </w:pPr>
            <w:r>
              <w:rPr>
                <w:rFonts w:hint="eastAsia" w:ascii="黑体" w:hAnsi="黑体" w:eastAsia="黑体" w:cs="黑体"/>
                <w:color w:val="000000"/>
              </w:rPr>
              <w:t>项  目</w:t>
            </w:r>
          </w:p>
        </w:tc>
        <w:tc>
          <w:tcPr>
            <w:tcW w:w="7234" w:type="dxa"/>
            <w:noWrap/>
            <w:vAlign w:val="center"/>
          </w:tcPr>
          <w:p>
            <w:pPr>
              <w:spacing w:line="500" w:lineRule="exact"/>
              <w:ind w:firstLine="420" w:firstLineChars="200"/>
              <w:jc w:val="center"/>
              <w:rPr>
                <w:rFonts w:hint="eastAsia" w:ascii="黑体" w:hAnsi="黑体" w:eastAsia="黑体" w:cs="黑体"/>
                <w:color w:val="000000"/>
              </w:rPr>
            </w:pPr>
            <w:r>
              <w:rPr>
                <w:rFonts w:hint="eastAsia" w:ascii="黑体" w:hAnsi="黑体" w:eastAsia="黑体" w:cs="黑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6" w:type="dxa"/>
            <w:noWrap/>
            <w:vAlign w:val="center"/>
          </w:tcPr>
          <w:p>
            <w:pPr>
              <w:spacing w:line="500" w:lineRule="exact"/>
              <w:ind w:firstLine="210" w:firstLineChars="100"/>
              <w:jc w:val="left"/>
              <w:rPr>
                <w:rFonts w:hint="eastAsia" w:ascii="仿宋_GB2312" w:hAnsi="仿宋_GB2312" w:eastAsia="仿宋_GB2312" w:cs="仿宋_GB2312"/>
                <w:color w:val="000000"/>
              </w:rPr>
            </w:pPr>
            <w:r>
              <w:rPr>
                <w:rFonts w:hint="eastAsia" w:ascii="仿宋_GB2312" w:hAnsi="仿宋_GB2312" w:eastAsia="仿宋_GB2312" w:cs="仿宋_GB2312"/>
                <w:b/>
                <w:bCs/>
                <w:color w:val="000000"/>
              </w:rPr>
              <w:t>1</w:t>
            </w:r>
          </w:p>
        </w:tc>
        <w:tc>
          <w:tcPr>
            <w:tcW w:w="1782" w:type="dxa"/>
            <w:noWrap/>
            <w:vAlign w:val="center"/>
          </w:tcPr>
          <w:p>
            <w:pPr>
              <w:spacing w:line="500" w:lineRule="exact"/>
              <w:ind w:firstLine="420" w:firstLineChars="200"/>
              <w:rPr>
                <w:rFonts w:hint="eastAsia" w:ascii="仿宋_GB2312" w:hAnsi="仿宋_GB2312" w:eastAsia="仿宋_GB2312" w:cs="仿宋_GB2312"/>
                <w:color w:val="000000"/>
              </w:rPr>
            </w:pPr>
            <w:r>
              <w:rPr>
                <w:rFonts w:hint="eastAsia" w:ascii="黑体" w:hAnsi="黑体" w:eastAsia="黑体" w:cs="黑体"/>
              </w:rPr>
              <w:t>报名条件</w:t>
            </w:r>
          </w:p>
        </w:tc>
        <w:tc>
          <w:tcPr>
            <w:tcW w:w="7234" w:type="dxa"/>
            <w:noWrap/>
            <w:vAlign w:val="center"/>
          </w:tcPr>
          <w:p>
            <w:pPr>
              <w:spacing w:line="500" w:lineRule="exact"/>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已取得双腔起搏器产品合法资质的医疗器械注册人（备案人），在质量标准、生产能力、供应稳定性、企业信用等方面达到集中带量釆购要求的均可参加。境外医疗器械 注册人（备案人）应当指定我国境内企业法人协助其履行相应的法律义务。</w:t>
            </w:r>
          </w:p>
          <w:p>
            <w:pPr>
              <w:spacing w:line="500" w:lineRule="exact"/>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（一）申报企业的产品应当符合国家有关部门的质量标准要求，并按国家有关部门要求组织生产。</w:t>
            </w:r>
          </w:p>
          <w:p>
            <w:pPr>
              <w:spacing w:line="500" w:lineRule="exact"/>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（二）申报企业须承诺各产品对应所有规格型号在采购周期内满足</w:t>
            </w:r>
            <w:r>
              <w:rPr>
                <w:rFonts w:hint="eastAsia" w:ascii="仿宋_GB2312" w:hAnsi="仿宋_GB2312" w:eastAsia="仿宋_GB2312" w:cs="仿宋_GB2312"/>
                <w:color w:val="000000"/>
                <w:lang w:val="en-US" w:eastAsia="zh-CN"/>
              </w:rPr>
              <w:t>联盟</w:t>
            </w:r>
            <w:r>
              <w:rPr>
                <w:rFonts w:hint="eastAsia" w:ascii="仿宋_GB2312" w:hAnsi="仿宋_GB2312" w:eastAsia="仿宋_GB2312" w:cs="仿宋_GB2312"/>
                <w:color w:val="000000"/>
              </w:rPr>
              <w:t>区域采购需求。</w:t>
            </w:r>
          </w:p>
          <w:p>
            <w:pPr>
              <w:spacing w:line="500" w:lineRule="exact"/>
              <w:ind w:firstLine="420" w:firstLineChars="200"/>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lang w:val="en-US" w:eastAsia="zh-CN"/>
              </w:rPr>
              <w:t>全国省级集中带量采购中选产品如面临退市（须提供相关书面证明材料），不参与本次集中带量采购的，由各联盟省份在执行带量采购中选结果时，撤销其挂网资格</w:t>
            </w:r>
            <w:r>
              <w:rPr>
                <w:rFonts w:hint="eastAsia" w:ascii="仿宋_GB2312" w:hAnsi="仿宋_GB2312" w:eastAsia="仿宋_GB2312" w:cs="仿宋_GB2312"/>
                <w:color w:val="000000"/>
                <w:lang w:eastAsia="zh-CN"/>
              </w:rPr>
              <w:t>；</w:t>
            </w:r>
          </w:p>
          <w:p>
            <w:pPr>
              <w:spacing w:line="500" w:lineRule="exact"/>
              <w:ind w:firstLine="420" w:firstLineChars="20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在集中采购周期内，如申报产品不能全部满足联盟区域采购需求的，但首年联盟区域最大供应量达到500台的，可参与本次集中带量采购；</w:t>
            </w:r>
          </w:p>
          <w:p>
            <w:pPr>
              <w:spacing w:line="500" w:lineRule="exact"/>
              <w:ind w:firstLine="420" w:firstLineChars="200"/>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在集中采购周期内，全国省级集中带量采购中选产品不能全部满足联盟区域采购需求，且首年联盟区域最大供应量达不到500台的，不参与本次集中带量采购，由各联盟省份在执行带量采购中选结果时，撤销其挂网资格</w:t>
            </w:r>
            <w:r>
              <w:rPr>
                <w:rFonts w:hint="eastAsia" w:ascii="仿宋_GB2312" w:hAnsi="仿宋_GB2312" w:eastAsia="仿宋_GB2312" w:cs="仿宋_GB2312"/>
                <w:color w:val="000000"/>
                <w:lang w:eastAsia="zh-CN"/>
              </w:rPr>
              <w:t>。</w:t>
            </w:r>
          </w:p>
          <w:p>
            <w:pPr>
              <w:spacing w:line="500" w:lineRule="exact"/>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（三）申报企业应遵守《中华人民共和国专利法》《中华人民共和国反不正当竞争法》等相关法律法规。</w:t>
            </w:r>
          </w:p>
          <w:p>
            <w:pPr>
              <w:spacing w:line="500" w:lineRule="exact"/>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（四）申报企业未被列入当前《全国医药价格和招采失信企业风险警示名单》。</w:t>
            </w:r>
          </w:p>
          <w:p>
            <w:pPr>
              <w:spacing w:line="500" w:lineRule="exact"/>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（五）同一医疗器械注册人（备案人）的同一产品不得委托不同企业进行申报。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36" w:type="dxa"/>
            <w:noWrap/>
            <w:vAlign w:val="center"/>
          </w:tcPr>
          <w:p>
            <w:pPr>
              <w:spacing w:line="500" w:lineRule="exact"/>
              <w:ind w:firstLine="210" w:firstLineChars="100"/>
              <w:rPr>
                <w:rFonts w:hint="eastAsia" w:ascii="仿宋_GB2312" w:hAnsi="仿宋_GB2312" w:eastAsia="仿宋_GB2312" w:cs="仿宋_GB2312"/>
                <w:color w:val="000000"/>
              </w:rPr>
            </w:pPr>
            <w:r>
              <w:rPr>
                <w:rFonts w:hint="eastAsia" w:ascii="黑体" w:hAnsi="黑体" w:eastAsia="黑体" w:cs="黑体"/>
              </w:rPr>
              <w:t>2</w:t>
            </w:r>
          </w:p>
        </w:tc>
        <w:tc>
          <w:tcPr>
            <w:tcW w:w="1782" w:type="dxa"/>
            <w:noWrap/>
            <w:vAlign w:val="center"/>
          </w:tcPr>
          <w:p>
            <w:pPr>
              <w:spacing w:line="500" w:lineRule="exact"/>
              <w:ind w:firstLine="420" w:firstLineChars="200"/>
              <w:rPr>
                <w:rFonts w:hint="eastAsia" w:ascii="仿宋_GB2312" w:hAnsi="仿宋_GB2312" w:eastAsia="仿宋_GB2312" w:cs="仿宋_GB2312"/>
                <w:color w:val="000000"/>
                <w:lang w:val="zh-CN"/>
              </w:rPr>
            </w:pPr>
            <w:r>
              <w:rPr>
                <w:rFonts w:hint="eastAsia" w:ascii="黑体" w:hAnsi="黑体" w:eastAsia="黑体" w:cs="黑体"/>
              </w:rPr>
              <w:t>报名方法</w:t>
            </w:r>
          </w:p>
        </w:tc>
        <w:tc>
          <w:tcPr>
            <w:tcW w:w="7234" w:type="dxa"/>
            <w:noWrap/>
            <w:vAlign w:val="center"/>
          </w:tcPr>
          <w:p>
            <w:pPr>
              <w:spacing w:line="500" w:lineRule="exact"/>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申报人应持1.法人授权书原件；2.被授权人身份证原件；3.在规定时间、地点现场报名（详见第三章</w:t>
            </w:r>
            <w:r>
              <w:rPr>
                <w:rFonts w:hint="eastAsia" w:ascii="仿宋_GB2312" w:hAnsi="仿宋_GB2312" w:eastAsia="仿宋_GB2312" w:cs="仿宋_GB2312"/>
                <w:color w:val="000000"/>
                <w:lang w:val="en-US" w:eastAsia="zh-CN"/>
              </w:rPr>
              <w:t>企业申报资料</w:t>
            </w:r>
            <w:r>
              <w:rPr>
                <w:rFonts w:hint="eastAsia" w:ascii="仿宋_GB2312" w:hAnsi="仿宋_GB2312" w:eastAsia="仿宋_GB2312" w:cs="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36" w:type="dxa"/>
            <w:noWrap/>
            <w:vAlign w:val="center"/>
          </w:tcPr>
          <w:p>
            <w:pPr>
              <w:spacing w:line="500" w:lineRule="exact"/>
              <w:jc w:val="center"/>
              <w:rPr>
                <w:rFonts w:ascii="宋体" w:hAnsi="宋体" w:cs="宋体"/>
                <w:color w:val="000000"/>
                <w:szCs w:val="21"/>
              </w:rPr>
            </w:pPr>
            <w:r>
              <w:rPr>
                <w:rFonts w:hint="eastAsia" w:ascii="黑体" w:hAnsi="黑体" w:eastAsia="黑体" w:cs="黑体"/>
              </w:rPr>
              <w:t>3</w:t>
            </w:r>
          </w:p>
        </w:tc>
        <w:tc>
          <w:tcPr>
            <w:tcW w:w="1782" w:type="dxa"/>
            <w:noWrap/>
            <w:vAlign w:val="center"/>
          </w:tcPr>
          <w:p>
            <w:pPr>
              <w:spacing w:line="500" w:lineRule="exact"/>
              <w:jc w:val="center"/>
              <w:rPr>
                <w:rFonts w:ascii="宋体" w:hAnsi="宋体" w:cs="宋体"/>
                <w:color w:val="000000"/>
                <w:szCs w:val="21"/>
              </w:rPr>
            </w:pPr>
            <w:r>
              <w:rPr>
                <w:rFonts w:hint="eastAsia" w:ascii="黑体" w:hAnsi="黑体" w:eastAsia="黑体" w:cs="黑体"/>
              </w:rPr>
              <w:t>采购产品、分组及目录</w:t>
            </w:r>
          </w:p>
        </w:tc>
        <w:tc>
          <w:tcPr>
            <w:tcW w:w="7234" w:type="dxa"/>
            <w:noWrap/>
            <w:vAlign w:val="center"/>
          </w:tcPr>
          <w:p>
            <w:pPr>
              <w:spacing w:line="500" w:lineRule="exact"/>
              <w:ind w:firstLine="420" w:firstLineChars="200"/>
              <w:rPr>
                <w:rFonts w:ascii="仿宋_GB2312" w:hAnsi="仿宋_GB2312" w:eastAsia="仿宋_GB2312" w:cs="仿宋_GB2312"/>
                <w:color w:val="000000"/>
              </w:rPr>
            </w:pPr>
            <w:r>
              <w:rPr>
                <w:rFonts w:hint="eastAsia" w:ascii="仿宋_GB2312" w:hAnsi="仿宋_GB2312" w:eastAsia="仿宋_GB2312" w:cs="仿宋_GB2312"/>
                <w:color w:val="000000"/>
              </w:rPr>
              <w:t>1.采购产品：双腔起搏器；</w:t>
            </w:r>
          </w:p>
          <w:p>
            <w:pPr>
              <w:spacing w:line="500" w:lineRule="exact"/>
              <w:ind w:firstLine="420" w:firstLineChars="200"/>
            </w:pPr>
            <w:r>
              <w:rPr>
                <w:rFonts w:hint="eastAsia" w:ascii="仿宋_GB2312" w:hAnsi="仿宋_GB2312" w:eastAsia="仿宋_GB2312" w:cs="仿宋_GB2312"/>
                <w:color w:val="000000"/>
              </w:rPr>
              <w:t>2.采购产品分组：采购产品按功能属性，结合联盟省（区、兵团）上报需求量量，确定产品分组目录。全身兼容MRI、</w:t>
            </w:r>
            <w:r>
              <w:rPr>
                <w:rFonts w:hint="eastAsia" w:ascii="仿宋_GB2312" w:hAnsi="仿宋_GB2312" w:eastAsia="仿宋_GB2312" w:cs="仿宋_GB2312"/>
                <w:color w:val="000000"/>
                <w:lang w:eastAsia="zh-CN"/>
              </w:rPr>
              <w:t>非全身</w:t>
            </w:r>
            <w:r>
              <w:rPr>
                <w:rFonts w:hint="eastAsia" w:ascii="仿宋_GB2312" w:hAnsi="仿宋_GB2312" w:eastAsia="仿宋_GB2312" w:cs="仿宋_GB2312"/>
                <w:color w:val="000000"/>
              </w:rPr>
              <w:t>兼容MRI、非兼容MRI(省际联盟需求量占比</w:t>
            </w:r>
            <w:r>
              <w:rPr>
                <w:rFonts w:ascii="仿宋_GB2312" w:hAnsi="仿宋_GB2312" w:eastAsia="仿宋_GB2312" w:cs="仿宋_GB2312"/>
                <w:color w:val="000000"/>
              </w:rPr>
              <w:t>≥</w:t>
            </w:r>
            <w:r>
              <w:rPr>
                <w:rFonts w:hint="eastAsia" w:ascii="仿宋_GB2312" w:hAnsi="仿宋_GB2312" w:eastAsia="仿宋_GB2312" w:cs="仿宋_GB2312"/>
                <w:color w:val="000000"/>
                <w:lang w:val="en-US" w:eastAsia="zh-CN"/>
              </w:rPr>
              <w:t>7</w:t>
            </w:r>
            <w:r>
              <w:rPr>
                <w:rFonts w:hint="eastAsia" w:ascii="仿宋_GB2312" w:hAnsi="仿宋_GB2312" w:eastAsia="仿宋_GB2312" w:cs="仿宋_GB2312"/>
                <w:color w:val="000000"/>
              </w:rPr>
              <w:t>%)、非兼容MRI(省际联盟需求量占比&lt;</w:t>
            </w:r>
            <w:r>
              <w:rPr>
                <w:rFonts w:hint="eastAsia" w:ascii="仿宋_GB2312" w:hAnsi="仿宋_GB2312" w:eastAsia="仿宋_GB2312" w:cs="仿宋_GB2312"/>
                <w:color w:val="000000"/>
                <w:lang w:val="en-US" w:eastAsia="zh-CN"/>
              </w:rPr>
              <w:t>7</w:t>
            </w:r>
            <w:r>
              <w:rPr>
                <w:rFonts w:hint="eastAsia" w:ascii="仿宋_GB2312" w:hAnsi="仿宋_GB2312" w:eastAsia="仿宋_GB2312" w:cs="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36" w:type="dxa"/>
            <w:noWrap/>
            <w:vAlign w:val="center"/>
          </w:tcPr>
          <w:p>
            <w:pPr>
              <w:spacing w:line="500" w:lineRule="exact"/>
              <w:jc w:val="center"/>
              <w:rPr>
                <w:rFonts w:ascii="宋体" w:hAnsi="宋体" w:cs="宋体"/>
                <w:color w:val="000000"/>
                <w:szCs w:val="21"/>
              </w:rPr>
            </w:pPr>
            <w:r>
              <w:rPr>
                <w:rFonts w:hint="eastAsia" w:ascii="黑体" w:hAnsi="黑体" w:eastAsia="黑体" w:cs="黑体"/>
              </w:rPr>
              <w:t>4</w:t>
            </w:r>
          </w:p>
        </w:tc>
        <w:tc>
          <w:tcPr>
            <w:tcW w:w="1782" w:type="dxa"/>
            <w:noWrap/>
            <w:vAlign w:val="center"/>
          </w:tcPr>
          <w:p>
            <w:pPr>
              <w:spacing w:line="500" w:lineRule="exact"/>
              <w:jc w:val="center"/>
              <w:rPr>
                <w:rFonts w:ascii="宋体" w:hAnsi="宋体" w:cs="宋体"/>
                <w:color w:val="000000"/>
                <w:szCs w:val="21"/>
              </w:rPr>
            </w:pPr>
            <w:r>
              <w:rPr>
                <w:rFonts w:hint="eastAsia" w:ascii="黑体" w:hAnsi="黑体" w:eastAsia="黑体" w:cs="黑体"/>
              </w:rPr>
              <w:t>产品基准价的确定</w:t>
            </w:r>
          </w:p>
        </w:tc>
        <w:tc>
          <w:tcPr>
            <w:tcW w:w="7234" w:type="dxa"/>
            <w:noWrap/>
            <w:vAlign w:val="center"/>
          </w:tcPr>
          <w:p>
            <w:pPr>
              <w:spacing w:line="5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企业所申报的产品有全国省级平台阳光挂网（中标）价（不含集中带量采购价）的，以</w:t>
            </w:r>
            <w:r>
              <w:rPr>
                <w:rFonts w:hint="eastAsia" w:ascii="仿宋_GB2312" w:hAnsi="仿宋_GB2312" w:eastAsia="仿宋_GB2312" w:cs="仿宋_GB2312"/>
                <w:color w:val="auto"/>
                <w:lang w:val="en-US" w:eastAsia="zh-CN"/>
              </w:rPr>
              <w:t>最低价</w:t>
            </w:r>
            <w:r>
              <w:rPr>
                <w:rFonts w:hint="eastAsia" w:ascii="仿宋_GB2312" w:hAnsi="仿宋_GB2312" w:eastAsia="仿宋_GB2312" w:cs="仿宋_GB2312"/>
                <w:color w:val="auto"/>
              </w:rPr>
              <w:t>此作为该产品基准价的计算依据。</w:t>
            </w:r>
          </w:p>
          <w:p>
            <w:pPr>
              <w:spacing w:line="500" w:lineRule="exact"/>
              <w:ind w:firstLine="420" w:firstLineChars="200"/>
              <w:rPr>
                <w:color w:val="auto"/>
              </w:rPr>
            </w:pPr>
            <w:r>
              <w:rPr>
                <w:rFonts w:hint="eastAsia" w:ascii="仿宋_GB2312" w:hAnsi="仿宋_GB2312" w:eastAsia="仿宋_GB2312" w:cs="仿宋_GB2312"/>
                <w:color w:val="auto"/>
              </w:rPr>
              <w:t>企业所申报的产品无全国省级阳光采购平台挂网（中标）价的，需提供近</w:t>
            </w:r>
            <w:r>
              <w:rPr>
                <w:rFonts w:hint="eastAsia" w:ascii="仿宋_GB2312" w:hAnsi="仿宋_GB2312" w:eastAsia="仿宋_GB2312" w:cs="仿宋_GB2312"/>
                <w:color w:val="auto"/>
                <w:lang w:val="en-US" w:eastAsia="zh-CN"/>
              </w:rPr>
              <w:t>半</w:t>
            </w:r>
            <w:r>
              <w:rPr>
                <w:rFonts w:hint="eastAsia" w:ascii="仿宋_GB2312" w:hAnsi="仿宋_GB2312" w:eastAsia="仿宋_GB2312" w:cs="仿宋_GB2312"/>
                <w:color w:val="auto"/>
              </w:rPr>
              <w:t>年全国最低开票价（两家三甲医院发票），以此作为该产品基准价的计算依据</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以国家药监局《</w:t>
            </w:r>
            <w:r>
              <w:rPr>
                <w:rFonts w:hint="eastAsia" w:ascii="仿宋" w:hAnsi="仿宋" w:eastAsia="仿宋" w:cs="仿宋"/>
                <w:color w:val="auto"/>
                <w:spacing w:val="-20"/>
                <w:sz w:val="21"/>
                <w:szCs w:val="21"/>
              </w:rPr>
              <w:t>医疗器械注册证</w:t>
            </w:r>
            <w:r>
              <w:rPr>
                <w:rFonts w:hint="eastAsia" w:ascii="仿宋_GB2312" w:hAnsi="仿宋_GB2312" w:eastAsia="仿宋_GB2312" w:cs="仿宋_GB2312"/>
                <w:color w:val="auto"/>
                <w:lang w:val="en-US" w:eastAsia="zh-CN"/>
              </w:rPr>
              <w:t>》的颁发时间为准，上市</w:t>
            </w:r>
            <w:r>
              <w:rPr>
                <w:rFonts w:hint="eastAsia" w:ascii="仿宋_GB2312" w:hAnsi="仿宋_GB2312" w:eastAsia="仿宋_GB2312" w:cs="仿宋_GB2312"/>
                <w:color w:val="auto"/>
              </w:rPr>
              <w:t>半年内的新产品，没有全国省级平台阳光挂网（中标）价（不含集中带量采购价）或半年内发票（两家三甲医院）</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，企业可自主申报价格作为</w:t>
            </w:r>
            <w:r>
              <w:rPr>
                <w:rFonts w:hint="eastAsia" w:ascii="仿宋_GB2312" w:hAnsi="仿宋_GB2312" w:eastAsia="仿宋_GB2312" w:cs="仿宋_GB2312"/>
                <w:color w:val="auto"/>
                <w:lang w:val="en-US" w:eastAsia="zh-CN"/>
              </w:rPr>
              <w:t>产品</w:t>
            </w:r>
            <w:r>
              <w:rPr>
                <w:rFonts w:hint="eastAsia" w:ascii="仿宋_GB2312" w:hAnsi="仿宋_GB2312" w:eastAsia="仿宋_GB2312" w:cs="仿宋_GB2312"/>
                <w:color w:val="auto"/>
              </w:rPr>
              <w:t>基准价，</w:t>
            </w:r>
            <w:r>
              <w:rPr>
                <w:rFonts w:hint="eastAsia" w:ascii="仿宋_GB2312" w:hAnsi="仿宋_GB2312" w:eastAsia="仿宋_GB2312" w:cs="仿宋_GB2312"/>
                <w:color w:val="auto"/>
                <w:lang w:val="en-US" w:eastAsia="zh-CN"/>
              </w:rPr>
              <w:t>但</w:t>
            </w:r>
            <w:r>
              <w:rPr>
                <w:rFonts w:hint="eastAsia" w:ascii="仿宋_GB2312" w:hAnsi="仿宋_GB2312" w:eastAsia="仿宋_GB2312" w:cs="仿宋_GB2312"/>
                <w:color w:val="auto"/>
              </w:rPr>
              <w:t>不得超过同类产品</w:t>
            </w:r>
            <w:r>
              <w:rPr>
                <w:rFonts w:hint="eastAsia" w:ascii="仿宋_GB2312" w:hAnsi="仿宋_GB2312" w:eastAsia="仿宋_GB2312" w:cs="仿宋_GB2312"/>
                <w:color w:val="auto"/>
                <w:lang w:val="en-US" w:eastAsia="zh-CN"/>
              </w:rPr>
              <w:t>基准价的最高价</w:t>
            </w:r>
            <w:r>
              <w:rPr>
                <w:rFonts w:hint="eastAsia" w:ascii="仿宋_GB2312" w:hAnsi="仿宋_GB2312" w:eastAsia="仿宋_GB2312" w:cs="仿宋_GB2312"/>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8" w:hRule="atLeast"/>
        </w:trPr>
        <w:tc>
          <w:tcPr>
            <w:tcW w:w="736" w:type="dxa"/>
            <w:noWrap/>
            <w:vAlign w:val="center"/>
          </w:tcPr>
          <w:p>
            <w:pPr>
              <w:spacing w:line="500" w:lineRule="exact"/>
              <w:jc w:val="center"/>
              <w:rPr>
                <w:rFonts w:ascii="宋体" w:hAnsi="宋体" w:cs="宋体"/>
                <w:color w:val="000000"/>
                <w:szCs w:val="21"/>
              </w:rPr>
            </w:pPr>
            <w:r>
              <w:rPr>
                <w:rFonts w:hint="eastAsia" w:ascii="黑体" w:hAnsi="黑体" w:eastAsia="黑体" w:cs="黑体"/>
              </w:rPr>
              <w:t>5</w:t>
            </w:r>
          </w:p>
        </w:tc>
        <w:tc>
          <w:tcPr>
            <w:tcW w:w="1782" w:type="dxa"/>
            <w:noWrap/>
            <w:vAlign w:val="center"/>
          </w:tcPr>
          <w:p>
            <w:pPr>
              <w:spacing w:line="500" w:lineRule="exact"/>
              <w:jc w:val="center"/>
              <w:rPr>
                <w:rFonts w:ascii="宋体" w:hAnsi="宋体" w:cs="宋体"/>
                <w:color w:val="000000"/>
                <w:szCs w:val="21"/>
              </w:rPr>
            </w:pPr>
            <w:r>
              <w:rPr>
                <w:rFonts w:hint="eastAsia" w:ascii="黑体" w:hAnsi="黑体" w:eastAsia="黑体" w:cs="黑体"/>
              </w:rPr>
              <w:t>中选企业数量确定原则</w:t>
            </w:r>
          </w:p>
        </w:tc>
        <w:tc>
          <w:tcPr>
            <w:tcW w:w="7234" w:type="dxa"/>
            <w:noWrap/>
            <w:vAlign w:val="center"/>
          </w:tcPr>
          <w:p>
            <w:pPr>
              <w:spacing w:line="5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根据本次联盟带量采购要求和医疗机构需求量，对竞价单元进行初步分组，同一分组内医疗机构无需求量的</w:t>
            </w:r>
            <w:r>
              <w:rPr>
                <w:rFonts w:hint="eastAsia" w:ascii="仿宋_GB2312" w:hAnsi="仿宋_GB2312" w:eastAsia="仿宋_GB2312" w:cs="仿宋_GB2312"/>
                <w:color w:val="auto"/>
                <w:lang w:val="en-US" w:eastAsia="zh-CN"/>
              </w:rPr>
              <w:t>产品</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该申报产品终止申报</w:t>
            </w:r>
            <w:r>
              <w:rPr>
                <w:rFonts w:hint="eastAsia" w:ascii="仿宋_GB2312" w:hAnsi="仿宋_GB2312" w:eastAsia="仿宋_GB2312" w:cs="仿宋_GB2312"/>
                <w:color w:val="auto"/>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290" w:type="dxa"/>
                  <w:noWrap/>
                </w:tcPr>
                <w:p>
                  <w:pPr>
                    <w:spacing w:line="500" w:lineRule="exact"/>
                    <w:jc w:val="center"/>
                    <w:rPr>
                      <w:rFonts w:ascii="黑体" w:hAnsi="黑体" w:eastAsia="黑体" w:cs="黑体"/>
                      <w:color w:val="auto"/>
                    </w:rPr>
                  </w:pPr>
                  <w:r>
                    <w:rPr>
                      <w:rFonts w:hint="eastAsia" w:ascii="黑体" w:hAnsi="黑体" w:eastAsia="黑体" w:cs="黑体"/>
                      <w:color w:val="auto"/>
                    </w:rPr>
                    <w:t>同一分组内符合申报资格的企业数</w:t>
                  </w:r>
                </w:p>
              </w:tc>
              <w:tc>
                <w:tcPr>
                  <w:tcW w:w="4718" w:type="dxa"/>
                  <w:noWrap/>
                </w:tcPr>
                <w:p>
                  <w:pPr>
                    <w:spacing w:line="500" w:lineRule="exact"/>
                    <w:jc w:val="center"/>
                    <w:rPr>
                      <w:rFonts w:ascii="黑体" w:hAnsi="黑体" w:eastAsia="黑体" w:cs="黑体"/>
                      <w:color w:val="auto"/>
                    </w:rPr>
                  </w:pPr>
                  <w:r>
                    <w:rPr>
                      <w:rFonts w:hint="eastAsia" w:ascii="黑体" w:hAnsi="黑体" w:eastAsia="黑体" w:cs="黑体"/>
                      <w:color w:val="auto"/>
                    </w:rPr>
                    <w:t>拟中选企业数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noWrap/>
                </w:tcPr>
                <w:p>
                  <w:pPr>
                    <w:spacing w:line="5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1-2家</w:t>
                  </w:r>
                </w:p>
              </w:tc>
              <w:tc>
                <w:tcPr>
                  <w:tcW w:w="4718" w:type="dxa"/>
                  <w:noWrap/>
                </w:tcPr>
                <w:p>
                  <w:pPr>
                    <w:spacing w:line="5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noWrap/>
                </w:tcPr>
                <w:p>
                  <w:pPr>
                    <w:spacing w:line="5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3家</w:t>
                  </w:r>
                </w:p>
              </w:tc>
              <w:tc>
                <w:tcPr>
                  <w:tcW w:w="4718" w:type="dxa"/>
                  <w:noWrap/>
                </w:tcPr>
                <w:p>
                  <w:pPr>
                    <w:spacing w:line="5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中选2家，未中选企业自愿进入复活报价。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noWrap/>
                </w:tcPr>
                <w:p>
                  <w:pPr>
                    <w:spacing w:line="5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4家</w:t>
                  </w:r>
                </w:p>
              </w:tc>
              <w:tc>
                <w:tcPr>
                  <w:tcW w:w="4718" w:type="dxa"/>
                  <w:noWrap/>
                </w:tcPr>
                <w:p>
                  <w:pPr>
                    <w:spacing w:line="5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中选3家，未中选企业自愿进入复活报价。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noWrap/>
                </w:tcPr>
                <w:p>
                  <w:pPr>
                    <w:spacing w:line="5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5家及以上</w:t>
                  </w:r>
                </w:p>
              </w:tc>
              <w:tc>
                <w:tcPr>
                  <w:tcW w:w="4718" w:type="dxa"/>
                  <w:noWrap/>
                </w:tcPr>
                <w:p>
                  <w:pPr>
                    <w:spacing w:line="500" w:lineRule="exact"/>
                    <w:jc w:val="left"/>
                    <w:rPr>
                      <w:rFonts w:ascii="仿宋_GB2312" w:hAnsi="仿宋_GB2312" w:eastAsia="仿宋_GB2312" w:cs="仿宋_GB2312"/>
                      <w:color w:val="auto"/>
                    </w:rPr>
                  </w:pPr>
                  <w:r>
                    <w:rPr>
                      <w:rFonts w:hint="eastAsia" w:ascii="仿宋_GB2312" w:hAnsi="仿宋_GB2312" w:eastAsia="仿宋_GB2312" w:cs="仿宋_GB2312"/>
                      <w:color w:val="auto"/>
                    </w:rPr>
                    <w:t>中选4家，未中选企业自愿进入复活报价。</w:t>
                  </w:r>
                </w:p>
              </w:tc>
            </w:tr>
          </w:tbl>
          <w:p>
            <w:pPr>
              <w:spacing w:line="5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736" w:type="dxa"/>
            <w:noWrap/>
            <w:vAlign w:val="center"/>
          </w:tcPr>
          <w:p>
            <w:pPr>
              <w:spacing w:line="500" w:lineRule="exact"/>
              <w:jc w:val="center"/>
              <w:rPr>
                <w:rFonts w:ascii="宋体" w:hAnsi="宋体" w:cs="宋体"/>
                <w:color w:val="000000"/>
                <w:szCs w:val="21"/>
              </w:rPr>
            </w:pPr>
            <w:r>
              <w:rPr>
                <w:rFonts w:hint="eastAsia" w:ascii="黑体" w:hAnsi="黑体" w:eastAsia="黑体" w:cs="黑体"/>
              </w:rPr>
              <w:t>6</w:t>
            </w:r>
          </w:p>
        </w:tc>
        <w:tc>
          <w:tcPr>
            <w:tcW w:w="1782" w:type="dxa"/>
            <w:noWrap/>
            <w:vAlign w:val="center"/>
          </w:tcPr>
          <w:p>
            <w:pPr>
              <w:spacing w:line="500" w:lineRule="exact"/>
              <w:jc w:val="center"/>
              <w:rPr>
                <w:rFonts w:ascii="黑体" w:hAnsi="黑体" w:eastAsia="黑体" w:cs="黑体"/>
              </w:rPr>
            </w:pPr>
            <w:r>
              <w:rPr>
                <w:rFonts w:hint="eastAsia" w:ascii="黑体" w:hAnsi="黑体" w:eastAsia="黑体" w:cs="黑体"/>
              </w:rPr>
              <w:t>拟中选企业及产品确定流程</w:t>
            </w:r>
          </w:p>
          <w:p>
            <w:pPr>
              <w:spacing w:line="500" w:lineRule="exact"/>
              <w:jc w:val="center"/>
              <w:rPr>
                <w:rFonts w:ascii="宋体" w:hAnsi="宋体" w:cs="宋体"/>
                <w:color w:val="000000"/>
                <w:szCs w:val="21"/>
              </w:rPr>
            </w:pPr>
          </w:p>
        </w:tc>
        <w:tc>
          <w:tcPr>
            <w:tcW w:w="7234" w:type="dxa"/>
            <w:noWrap/>
            <w:vAlign w:val="center"/>
          </w:tcPr>
          <w:p>
            <w:pPr>
              <w:spacing w:line="500" w:lineRule="exact"/>
              <w:ind w:firstLine="420" w:firstLineChars="200"/>
              <w:rPr>
                <w:rFonts w:ascii="仿宋_GB2312" w:hAnsi="仿宋_GB2312" w:eastAsia="仿宋_GB2312" w:cs="仿宋_GB2312"/>
              </w:rPr>
            </w:pPr>
            <w:r>
              <w:rPr>
                <w:rFonts w:hint="eastAsia" w:ascii="仿宋_GB2312" w:hAnsi="仿宋_GB2312" w:eastAsia="仿宋_GB2312" w:cs="仿宋_GB2312"/>
              </w:rPr>
              <w:t>本次联盟带量采购按“首轮竞价、专家议价、确定中选企业及产品、复活竞价”四个步骤进行。</w:t>
            </w:r>
          </w:p>
          <w:p>
            <w:pPr>
              <w:numPr>
                <w:ilvl w:val="0"/>
                <w:numId w:val="2"/>
              </w:numPr>
              <w:spacing w:line="500" w:lineRule="exact"/>
              <w:ind w:firstLine="420" w:firstLineChars="200"/>
              <w:rPr>
                <w:rFonts w:ascii="仿宋_GB2312" w:hAnsi="仿宋_GB2312" w:eastAsia="仿宋_GB2312" w:cs="仿宋_GB2312"/>
                <w:b/>
                <w:bCs/>
              </w:rPr>
            </w:pPr>
            <w:r>
              <w:rPr>
                <w:rFonts w:hint="eastAsia" w:ascii="仿宋_GB2312" w:hAnsi="仿宋_GB2312" w:eastAsia="仿宋_GB2312" w:cs="仿宋_GB2312"/>
                <w:b/>
                <w:bCs/>
              </w:rPr>
              <w:t>首轮竞价</w:t>
            </w:r>
          </w:p>
          <w:p>
            <w:pPr>
              <w:spacing w:line="500" w:lineRule="exact"/>
              <w:ind w:firstLine="420" w:firstLineChars="200"/>
              <w:rPr>
                <w:rFonts w:ascii="仿宋_GB2312" w:hAnsi="仿宋_GB2312" w:eastAsia="仿宋_GB2312" w:cs="仿宋_GB2312"/>
                <w:color w:val="FF0000"/>
              </w:rPr>
            </w:pPr>
            <w:r>
              <w:rPr>
                <w:rFonts w:hint="eastAsia" w:ascii="仿宋_GB2312" w:hAnsi="仿宋_GB2312" w:eastAsia="仿宋_GB2312" w:cs="仿宋_GB2312"/>
              </w:rPr>
              <w:t>企业现场提交每组代表品的竞争报价，并以竞争报价与代表品基准价之间的降幅，确定该组每个申报产品的申报价格。</w:t>
            </w:r>
          </w:p>
          <w:p>
            <w:pPr>
              <w:spacing w:line="500" w:lineRule="exact"/>
              <w:ind w:firstLine="420" w:firstLineChars="200"/>
              <w:rPr>
                <w:rFonts w:ascii="黑体" w:hAnsi="黑体" w:eastAsia="黑体" w:cs="黑体"/>
              </w:rPr>
            </w:pPr>
            <w:r>
              <w:rPr>
                <w:rFonts w:hint="eastAsia" w:ascii="黑体" w:hAnsi="黑体" w:eastAsia="黑体" w:cs="黑体"/>
              </w:rPr>
              <w:t>代表品及基准价的确定</w:t>
            </w:r>
          </w:p>
          <w:p>
            <w:pPr>
              <w:spacing w:line="500" w:lineRule="exact"/>
              <w:ind w:firstLine="420" w:firstLineChars="200"/>
              <w:rPr>
                <w:rFonts w:ascii="黑体" w:hAnsi="黑体" w:eastAsia="黑体" w:cs="黑体"/>
              </w:rPr>
            </w:pPr>
            <w:r>
              <w:rPr>
                <w:rFonts w:hint="eastAsia" w:ascii="仿宋_GB2312" w:hAnsi="仿宋_GB2312" w:eastAsia="仿宋_GB2312" w:cs="仿宋_GB2312"/>
              </w:rPr>
              <w:t>以每组企业所申报产品全国最低挂网限价与联盟区域医疗机构需求量加权确定代表品及代表品基准价。</w:t>
            </w:r>
          </w:p>
          <w:p>
            <w:pPr>
              <w:spacing w:line="5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示例：若某企业该组别对应有 n 个产品，分别为产品 1、产品 2、…、产品 n，全国省级最低挂网价分别为a1、a2、…、an，对应联盟区域医疗机构需求量分别为 b1、b2、…、bn，则该企业代表品基准价=（a1×b1+a2×b2+…+an×bn）/（b1+b2+…+bn）。</w:t>
            </w:r>
          </w:p>
          <w:p>
            <w:pPr>
              <w:spacing w:line="500" w:lineRule="exact"/>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每组单个产品的申报价格=单个产品的全国最低挂网价</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1-代表品</w:t>
            </w:r>
            <w:r>
              <w:rPr>
                <w:rFonts w:hint="eastAsia" w:ascii="仿宋_GB2312" w:hAnsi="仿宋_GB2312" w:eastAsia="仿宋_GB2312" w:cs="仿宋_GB2312"/>
              </w:rPr>
              <w:t>竞争报价与代表品基准价之间的降幅</w:t>
            </w:r>
            <w:r>
              <w:rPr>
                <w:rFonts w:hint="eastAsia" w:ascii="仿宋_GB2312" w:hAnsi="仿宋_GB2312" w:eastAsia="仿宋_GB2312" w:cs="仿宋_GB2312"/>
                <w:lang w:eastAsia="zh-CN"/>
              </w:rPr>
              <w:t>）</w:t>
            </w:r>
          </w:p>
          <w:p>
            <w:pPr>
              <w:numPr>
                <w:ilvl w:val="0"/>
                <w:numId w:val="2"/>
              </w:numPr>
              <w:spacing w:line="500" w:lineRule="exact"/>
              <w:ind w:firstLine="420" w:firstLineChars="200"/>
              <w:rPr>
                <w:rFonts w:ascii="仿宋_GB2312" w:hAnsi="仿宋_GB2312" w:eastAsia="仿宋_GB2312" w:cs="仿宋_GB2312"/>
                <w:b/>
                <w:bCs/>
              </w:rPr>
            </w:pPr>
            <w:r>
              <w:rPr>
                <w:rFonts w:hint="eastAsia" w:ascii="仿宋_GB2312" w:hAnsi="仿宋_GB2312" w:eastAsia="仿宋_GB2312" w:cs="仿宋_GB2312"/>
                <w:b/>
                <w:bCs/>
              </w:rPr>
              <w:t>专家议价</w:t>
            </w:r>
          </w:p>
          <w:p>
            <w:pPr>
              <w:spacing w:line="5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rPr>
              <w:t>按照代表品降幅确定该组产品申报价格后，若评审专家和企业双方都无异议，则无需</w:t>
            </w:r>
            <w:r>
              <w:rPr>
                <w:rFonts w:hint="eastAsia" w:ascii="仿宋_GB2312" w:hAnsi="仿宋_GB2312" w:eastAsia="仿宋_GB2312" w:cs="仿宋_GB2312"/>
                <w:color w:val="auto"/>
              </w:rPr>
              <w:t>议价，该价格即为申报企业最终的产品申报价格；若评审专家或企业对部分品种的申报价格有议价需求，则需进行现场议价，由评审专家确定是否接受该产品的最终申报价格或淘汰出局。</w:t>
            </w:r>
          </w:p>
          <w:p>
            <w:pPr>
              <w:spacing w:line="500" w:lineRule="exact"/>
              <w:ind w:firstLine="420" w:firstLineChars="200"/>
              <w:rPr>
                <w:rFonts w:hint="eastAsia" w:ascii="黑体" w:hAnsi="黑体" w:eastAsia="黑体" w:cs="黑体"/>
                <w:color w:val="auto"/>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如申报企业</w:t>
            </w:r>
            <w:r>
              <w:rPr>
                <w:rFonts w:hint="eastAsia" w:ascii="仿宋_GB2312" w:hAnsi="仿宋_GB2312" w:eastAsia="仿宋_GB2312" w:cs="仿宋_GB2312"/>
                <w:color w:val="auto"/>
                <w:lang w:val="en-US" w:eastAsia="zh-CN"/>
              </w:rPr>
              <w:t>有</w:t>
            </w:r>
            <w:r>
              <w:rPr>
                <w:rFonts w:hint="eastAsia" w:ascii="仿宋_GB2312" w:hAnsi="仿宋_GB2312" w:eastAsia="仿宋_GB2312" w:cs="仿宋_GB2312"/>
                <w:color w:val="auto"/>
              </w:rPr>
              <w:t>产品的申报价格，高于全国省级（含联盟）集中带量采购最低中选价格，允许企业将相关产品的申报价格降至不高于全国省级（含联盟）最低带量采购中选价</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如申报企业的最终产品申报价格不满足上述要求，</w:t>
            </w:r>
            <w:r>
              <w:rPr>
                <w:rFonts w:hint="eastAsia" w:ascii="仿宋_GB2312" w:hAnsi="仿宋_GB2312" w:eastAsia="仿宋_GB2312" w:cs="仿宋_GB2312"/>
                <w:color w:val="auto"/>
                <w:lang w:val="en-US" w:eastAsia="zh-CN"/>
              </w:rPr>
              <w:t>则申报</w:t>
            </w:r>
            <w:r>
              <w:rPr>
                <w:rFonts w:hint="eastAsia" w:ascii="仿宋_GB2312" w:hAnsi="仿宋_GB2312" w:eastAsia="仿宋_GB2312" w:cs="仿宋_GB2312"/>
                <w:color w:val="auto"/>
              </w:rPr>
              <w:t>企业该组</w:t>
            </w:r>
            <w:r>
              <w:rPr>
                <w:rFonts w:hint="eastAsia" w:ascii="仿宋_GB2312" w:hAnsi="仿宋_GB2312" w:eastAsia="仿宋_GB2312" w:cs="仿宋_GB2312"/>
                <w:color w:val="auto"/>
                <w:lang w:val="en-US" w:eastAsia="zh-CN"/>
              </w:rPr>
              <w:t>所有</w:t>
            </w:r>
            <w:r>
              <w:rPr>
                <w:rFonts w:hint="eastAsia" w:ascii="仿宋_GB2312" w:hAnsi="仿宋_GB2312" w:eastAsia="仿宋_GB2312" w:cs="仿宋_GB2312"/>
                <w:color w:val="auto"/>
              </w:rPr>
              <w:t>申报产品直接淘汰出局；</w:t>
            </w:r>
          </w:p>
          <w:p>
            <w:pPr>
              <w:spacing w:line="500" w:lineRule="exact"/>
              <w:ind w:firstLine="420" w:firstLineChars="200"/>
              <w:rPr>
                <w:rFonts w:ascii="仿宋_GB2312" w:hAnsi="仿宋_GB2312" w:eastAsia="仿宋_GB2312" w:cs="仿宋_GB2312"/>
              </w:rPr>
            </w:pPr>
            <w:r>
              <w:rPr>
                <w:rFonts w:ascii="仿宋_GB2312" w:hAnsi="仿宋_GB2312" w:eastAsia="仿宋_GB2312" w:cs="仿宋_GB2312"/>
                <w:color w:val="auto"/>
              </w:rPr>
              <w:t>2</w:t>
            </w:r>
            <w:r>
              <w:rPr>
                <w:rFonts w:hint="eastAsia" w:ascii="仿宋_GB2312" w:hAnsi="仿宋_GB2312" w:eastAsia="仿宋_GB2312" w:cs="仿宋_GB2312"/>
                <w:color w:val="auto"/>
              </w:rPr>
              <w:t>.评审专家综合临床需求和使用情况、产品功能、产品质量等因素，对于申报价格不合理的产品，可提出同企业进行议价。对企业提供的最终报价，由评审专家投票确认是否认可</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专家投票认</w:t>
            </w:r>
            <w:r>
              <w:rPr>
                <w:rFonts w:hint="eastAsia" w:ascii="仿宋_GB2312" w:hAnsi="仿宋_GB2312" w:eastAsia="仿宋_GB2312" w:cs="仿宋_GB2312"/>
              </w:rPr>
              <w:t>可的产品申报价格，即为该产品最终的申报价格；专家投票不认可的产品申报价格，该产品即淘汰出局；</w:t>
            </w:r>
          </w:p>
          <w:p>
            <w:pPr>
              <w:spacing w:line="500" w:lineRule="exact"/>
              <w:ind w:firstLine="42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企业如有个别产品的申报价格，无法接受按统一降幅计算出的申报价格，可向评审专家提出议价申请，但议价产品数量不得高于本组申报产品数的百分之二十（按照四舍五入取整计算）；对企业提供的最终报价，由评审专家投票确认是否认可：专家投票认可的产品申报价格，即为该产品最终的申报价格；专家投票不认可的产品申报价格，该产品即淘汰出局。</w:t>
            </w:r>
          </w:p>
          <w:p>
            <w:pPr>
              <w:spacing w:line="500" w:lineRule="exact"/>
              <w:ind w:firstLine="420" w:firstLineChars="200"/>
              <w:rPr>
                <w:rFonts w:hint="eastAsia"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.同一厂家</w:t>
            </w:r>
            <w:r>
              <w:rPr>
                <w:rFonts w:hint="eastAsia" w:ascii="仿宋_GB2312" w:hAnsi="仿宋_GB2312" w:eastAsia="仿宋_GB2312" w:cs="仿宋_GB2312"/>
                <w:lang w:eastAsia="zh-CN"/>
              </w:rPr>
              <w:t>非全身</w:t>
            </w:r>
            <w:r>
              <w:rPr>
                <w:rFonts w:hint="eastAsia" w:ascii="仿宋_GB2312" w:hAnsi="仿宋_GB2312" w:eastAsia="仿宋_GB2312" w:cs="仿宋_GB2312"/>
              </w:rPr>
              <w:t>兼容MRI产品中选价格不得高于全身兼容MRI产品中选价格。如申报产品不满足上述条件，相关产品即淘汰出局。</w:t>
            </w:r>
          </w:p>
          <w:p>
            <w:pPr>
              <w:numPr>
                <w:ilvl w:val="0"/>
                <w:numId w:val="2"/>
              </w:numPr>
              <w:spacing w:line="500" w:lineRule="exact"/>
              <w:ind w:firstLine="420" w:firstLineChars="200"/>
              <w:rPr>
                <w:rFonts w:ascii="仿宋_GB2312" w:hAnsi="仿宋_GB2312" w:eastAsia="仿宋_GB2312" w:cs="仿宋_GB2312"/>
                <w:b/>
                <w:bCs/>
              </w:rPr>
            </w:pPr>
            <w:r>
              <w:rPr>
                <w:rFonts w:hint="eastAsia" w:ascii="仿宋_GB2312" w:hAnsi="仿宋_GB2312" w:eastAsia="仿宋_GB2312" w:cs="仿宋_GB2312"/>
                <w:b/>
                <w:bCs/>
              </w:rPr>
              <w:t>确定中选企业及产品</w:t>
            </w:r>
          </w:p>
          <w:p>
            <w:pPr>
              <w:spacing w:line="5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代表品价格的确定</w:t>
            </w:r>
          </w:p>
          <w:p>
            <w:pPr>
              <w:spacing w:line="500" w:lineRule="exact"/>
              <w:ind w:firstLine="420" w:firstLineChars="200"/>
              <w:rPr>
                <w:rFonts w:ascii="仿宋_GB2312" w:hAnsi="仿宋_GB2312" w:eastAsia="仿宋_GB2312" w:cs="仿宋_GB2312"/>
              </w:rPr>
            </w:pPr>
            <w:r>
              <w:rPr>
                <w:rFonts w:hint="eastAsia" w:ascii="仿宋_GB2312" w:hAnsi="仿宋_GB2312" w:eastAsia="仿宋_GB2312" w:cs="仿宋_GB2312"/>
              </w:rPr>
              <w:t>以每组企业所申报产品最终申报价格与联盟区域医疗机构需求量加权确定代表品价格。</w:t>
            </w:r>
          </w:p>
          <w:p>
            <w:pPr>
              <w:spacing w:line="5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rPr>
              <w:t>示例：若某企业该组别对应有 n 个产品，分别为产品 1、产品 2、…、产品 n，最终申报价格分别是c1、c2、...cn，对应联盟区域医疗机构需求量分别为 b1、b2、…、bn，则该企代表品价格=（c1×b1+c2×b2+…+cn×bn）/（b1+</w:t>
            </w:r>
            <w:r>
              <w:rPr>
                <w:rFonts w:hint="eastAsia" w:ascii="仿宋_GB2312" w:hAnsi="仿宋_GB2312" w:eastAsia="仿宋_GB2312" w:cs="仿宋_GB2312"/>
                <w:color w:val="auto"/>
              </w:rPr>
              <w:t>b2+…+bn）。</w:t>
            </w:r>
          </w:p>
          <w:p>
            <w:pPr>
              <w:spacing w:line="5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产品最终申报价格确定后，按公式计算得出代表品价格，依据同组额定中选数，按照代表品价格由低至高</w:t>
            </w:r>
            <w:r>
              <w:rPr>
                <w:rFonts w:hint="eastAsia" w:ascii="仿宋_GB2312" w:hAnsi="仿宋_GB2312" w:eastAsia="仿宋_GB2312" w:cs="仿宋_GB2312"/>
                <w:color w:val="auto"/>
                <w:lang w:val="en-US" w:eastAsia="zh-CN"/>
              </w:rPr>
              <w:t>依次排名</w:t>
            </w:r>
            <w:r>
              <w:rPr>
                <w:rFonts w:hint="eastAsia" w:ascii="仿宋_GB2312" w:hAnsi="仿宋_GB2312" w:eastAsia="仿宋_GB2312" w:cs="仿宋_GB2312"/>
                <w:color w:val="auto"/>
              </w:rPr>
              <w:t>确定本组中选企业，中选企业在本组范围内的所有产品及规格型号均为中选。</w:t>
            </w:r>
          </w:p>
          <w:p>
            <w:pPr>
              <w:spacing w:line="500" w:lineRule="exact"/>
              <w:ind w:left="420" w:leftChars="200"/>
              <w:rPr>
                <w:rFonts w:ascii="仿宋_GB2312" w:hAnsi="仿宋_GB2312" w:eastAsia="仿宋_GB2312" w:cs="仿宋_GB2312"/>
                <w:color w:val="auto"/>
              </w:rPr>
            </w:pP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现场出现特殊情况以及其它未尽事宜由联合采购办公室现场决定。</w:t>
            </w:r>
          </w:p>
          <w:p>
            <w:pPr>
              <w:spacing w:line="500" w:lineRule="exact"/>
              <w:ind w:left="420" w:leftChars="200"/>
              <w:rPr>
                <w:rFonts w:ascii="仿宋_GB2312" w:hAnsi="仿宋_GB2312" w:eastAsia="仿宋_GB2312" w:cs="仿宋_GB2312"/>
                <w:b/>
                <w:bCs/>
                <w:color w:val="auto"/>
              </w:rPr>
            </w:pPr>
            <w:r>
              <w:rPr>
                <w:rFonts w:hint="eastAsia" w:ascii="仿宋_GB2312" w:hAnsi="仿宋_GB2312" w:eastAsia="仿宋_GB2312" w:cs="仿宋_GB2312"/>
                <w:b/>
                <w:bCs/>
                <w:color w:val="auto"/>
              </w:rPr>
              <w:t xml:space="preserve">四、复活竞价 </w:t>
            </w:r>
          </w:p>
          <w:p>
            <w:pPr>
              <w:spacing w:line="500" w:lineRule="exact"/>
              <w:ind w:firstLine="420" w:firstLineChars="200"/>
            </w:pPr>
            <w:r>
              <w:rPr>
                <w:rFonts w:hint="eastAsia" w:ascii="仿宋_GB2312" w:hAnsi="仿宋_GB2312" w:eastAsia="仿宋_GB2312" w:cs="仿宋_GB2312"/>
              </w:rPr>
              <w:t>首轮未中选的可自愿进入复活报价，企业直接报送各产品最终申报价格，满足以下条件的中选：按照最终申报价格计算得出的代表品价格不高于本组已中选企业最低代表品价格，且所有申报产品价格不高于首轮申报价格和全国省级（含联盟）集中带量采购最低中选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736" w:type="dxa"/>
            <w:noWrap/>
            <w:vAlign w:val="center"/>
          </w:tcPr>
          <w:p>
            <w:pPr>
              <w:spacing w:line="500" w:lineRule="exact"/>
              <w:jc w:val="center"/>
              <w:rPr>
                <w:rFonts w:ascii="宋体" w:hAnsi="宋体" w:cs="宋体"/>
                <w:color w:val="000000"/>
                <w:szCs w:val="21"/>
              </w:rPr>
            </w:pPr>
            <w:r>
              <w:rPr>
                <w:rFonts w:hint="eastAsia" w:ascii="黑体" w:hAnsi="黑体" w:eastAsia="黑体" w:cs="黑体"/>
              </w:rPr>
              <w:t>7</w:t>
            </w:r>
          </w:p>
        </w:tc>
        <w:tc>
          <w:tcPr>
            <w:tcW w:w="1782" w:type="dxa"/>
            <w:noWrap/>
            <w:vAlign w:val="center"/>
          </w:tcPr>
          <w:p>
            <w:pPr>
              <w:spacing w:line="500" w:lineRule="exact"/>
              <w:jc w:val="center"/>
              <w:rPr>
                <w:rFonts w:ascii="宋体" w:hAnsi="宋体" w:cs="宋体"/>
                <w:color w:val="000000"/>
                <w:szCs w:val="21"/>
              </w:rPr>
            </w:pPr>
            <w:r>
              <w:rPr>
                <w:rFonts w:hint="eastAsia" w:ascii="黑体" w:hAnsi="黑体" w:eastAsia="黑体" w:cs="黑体"/>
              </w:rPr>
              <w:t>专家组构成</w:t>
            </w:r>
          </w:p>
        </w:tc>
        <w:tc>
          <w:tcPr>
            <w:tcW w:w="7234" w:type="dxa"/>
            <w:noWrap/>
            <w:vAlign w:val="center"/>
          </w:tcPr>
          <w:p>
            <w:pPr>
              <w:spacing w:line="500" w:lineRule="exact"/>
              <w:ind w:firstLine="420" w:firstLineChars="200"/>
              <w:rPr>
                <w:color w:val="000000"/>
              </w:rPr>
            </w:pPr>
            <w:r>
              <w:rPr>
                <w:rFonts w:hint="eastAsia" w:ascii="仿宋_GB2312" w:hAnsi="仿宋_GB2312" w:eastAsia="仿宋_GB2312" w:cs="仿宋_GB2312"/>
              </w:rPr>
              <w:t>由相关领域专家组成，负责心脏起搏器集中带量采购谈判议价工作。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736" w:type="dxa"/>
            <w:noWrap/>
            <w:vAlign w:val="center"/>
          </w:tcPr>
          <w:p>
            <w:pPr>
              <w:spacing w:line="500" w:lineRule="exact"/>
              <w:jc w:val="center"/>
              <w:rPr>
                <w:rFonts w:ascii="宋体" w:hAnsi="宋体" w:cs="宋体"/>
                <w:color w:val="000000"/>
                <w:szCs w:val="21"/>
              </w:rPr>
            </w:pPr>
            <w:r>
              <w:rPr>
                <w:rFonts w:hint="eastAsia" w:ascii="黑体" w:hAnsi="黑体" w:eastAsia="黑体" w:cs="黑体"/>
              </w:rPr>
              <w:t>8</w:t>
            </w:r>
          </w:p>
        </w:tc>
        <w:tc>
          <w:tcPr>
            <w:tcW w:w="1782" w:type="dxa"/>
            <w:noWrap/>
            <w:vAlign w:val="center"/>
          </w:tcPr>
          <w:p>
            <w:pPr>
              <w:spacing w:line="500" w:lineRule="exact"/>
              <w:jc w:val="center"/>
              <w:rPr>
                <w:rFonts w:ascii="宋体" w:hAnsi="宋体" w:cs="宋体"/>
                <w:color w:val="000000"/>
                <w:szCs w:val="21"/>
              </w:rPr>
            </w:pPr>
            <w:r>
              <w:rPr>
                <w:rFonts w:hint="eastAsia" w:ascii="黑体" w:hAnsi="黑体" w:eastAsia="黑体" w:cs="黑体"/>
              </w:rPr>
              <w:t>各省（区）对中选产品及采购数量的确认</w:t>
            </w:r>
          </w:p>
        </w:tc>
        <w:tc>
          <w:tcPr>
            <w:tcW w:w="7234" w:type="dxa"/>
            <w:noWrap/>
            <w:vAlign w:val="center"/>
          </w:tcPr>
          <w:p>
            <w:pPr>
              <w:spacing w:line="500" w:lineRule="exact"/>
              <w:ind w:firstLine="420" w:firstLineChars="200"/>
              <w:rPr>
                <w:rFonts w:ascii="仿宋_GB2312" w:hAnsi="仿宋_GB2312" w:eastAsia="仿宋_GB2312" w:cs="仿宋_GB2312"/>
              </w:rPr>
            </w:pPr>
            <w:r>
              <w:rPr>
                <w:rFonts w:hint="eastAsia" w:ascii="仿宋_GB2312" w:hAnsi="仿宋_GB2312" w:eastAsia="仿宋_GB2312" w:cs="仿宋_GB2312"/>
              </w:rPr>
              <w:t>医疗机构申报需求量的80%为约定采购量。</w:t>
            </w:r>
          </w:p>
          <w:p>
            <w:pPr>
              <w:spacing w:line="500" w:lineRule="exact"/>
              <w:rPr>
                <w:rFonts w:ascii="仿宋_GB2312" w:hAnsi="仿宋_GB2312" w:eastAsia="仿宋_GB2312" w:cs="仿宋_GB2312"/>
              </w:rPr>
            </w:pPr>
            <w:r>
              <w:rPr>
                <w:rFonts w:hint="eastAsia" w:ascii="仿宋_GB2312" w:hAnsi="仿宋_GB2312" w:eastAsia="仿宋_GB2312" w:cs="仿宋_GB2312"/>
              </w:rPr>
              <w:t xml:space="preserve">     1.拟中选结果公示无异议后确定为中选结果。分两步确定每一家医疗机构的协议采购量。</w:t>
            </w:r>
          </w:p>
          <w:p>
            <w:pPr>
              <w:spacing w:line="500" w:lineRule="exact"/>
              <w:ind w:firstLine="420"/>
              <w:rPr>
                <w:rFonts w:ascii="仿宋_GB2312" w:hAnsi="仿宋_GB2312" w:eastAsia="仿宋_GB2312" w:cs="仿宋_GB2312"/>
                <w:color w:val="auto"/>
              </w:rPr>
            </w:pPr>
            <w:r>
              <w:rPr>
                <w:rFonts w:hint="eastAsia" w:ascii="仿宋_GB2312" w:hAnsi="仿宋_GB2312" w:eastAsia="仿宋_GB2312" w:cs="仿宋_GB2312"/>
              </w:rPr>
              <w:t>第一步：联盟省（区、兵团）同一组内第一名的中选企业的中选产品按医疗机构填报约定采</w:t>
            </w:r>
            <w:r>
              <w:rPr>
                <w:rFonts w:hint="eastAsia" w:ascii="仿宋_GB2312" w:hAnsi="仿宋_GB2312" w:eastAsia="仿宋_GB2312" w:cs="仿宋_GB2312"/>
                <w:color w:val="auto"/>
              </w:rPr>
              <w:t>购量的100%分配给对应医疗机构，其它中选企业的中选产品按医疗机构填报采购约定采购量的80%分配给对应医疗机构；复活竞价</w:t>
            </w:r>
            <w:r>
              <w:rPr>
                <w:rFonts w:hint="eastAsia" w:ascii="仿宋_GB2312" w:hAnsi="仿宋_GB2312" w:eastAsia="仿宋_GB2312" w:cs="仿宋_GB2312"/>
                <w:color w:val="auto"/>
                <w:lang w:val="en-US" w:eastAsia="zh-CN"/>
              </w:rPr>
              <w:t>中选</w:t>
            </w:r>
            <w:r>
              <w:rPr>
                <w:rFonts w:hint="eastAsia" w:ascii="仿宋_GB2312" w:hAnsi="仿宋_GB2312" w:eastAsia="仿宋_GB2312" w:cs="仿宋_GB2312"/>
                <w:color w:val="auto"/>
              </w:rPr>
              <w:t>企业</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中选产品按医疗机构约定采购量的70%分配给对应医疗机构。</w:t>
            </w:r>
          </w:p>
          <w:p>
            <w:pPr>
              <w:spacing w:line="5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产品分配额为非整数的，向上取整。</w:t>
            </w:r>
          </w:p>
          <w:p>
            <w:pPr>
              <w:spacing w:line="500" w:lineRule="exac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 xml:space="preserve">    第二步：联盟省（区、兵团）医疗机构填报</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未中选产品约定采购量</w:t>
            </w:r>
            <w:r>
              <w:rPr>
                <w:rFonts w:hint="eastAsia" w:ascii="仿宋_GB2312" w:hAnsi="仿宋_GB2312" w:eastAsia="仿宋_GB2312" w:cs="仿宋_GB2312"/>
                <w:color w:val="auto"/>
                <w:lang w:val="en-US" w:eastAsia="zh-CN"/>
              </w:rPr>
              <w:t>以及中选产品的未分配采购量</w:t>
            </w:r>
            <w:r>
              <w:rPr>
                <w:rFonts w:hint="eastAsia" w:ascii="仿宋_GB2312" w:hAnsi="仿宋_GB2312" w:eastAsia="仿宋_GB2312" w:cs="仿宋_GB2312"/>
                <w:color w:val="auto"/>
              </w:rPr>
              <w:t>（即剩余量），由医疗机构在同一产品类别</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兼容MRI和非兼容MRI</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中选产品中自</w:t>
            </w:r>
            <w:r>
              <w:rPr>
                <w:rFonts w:hint="eastAsia" w:ascii="仿宋_GB2312" w:hAnsi="仿宋_GB2312" w:eastAsia="仿宋_GB2312" w:cs="仿宋_GB2312"/>
                <w:color w:val="auto"/>
                <w:lang w:val="en-US" w:eastAsia="zh-CN"/>
              </w:rPr>
              <w:t>主选择；兼容MRI（含全身兼容MRI和非全身兼容MRI两组）类别下的剩余量可以跨类别选择非兼容MRI产品（含省际联盟需求量占比≥7%和省际联盟需求量占比&lt;7%两组），但非兼容MRI类别下的剩余量不能跨类别选择兼容MRI产品。</w:t>
            </w:r>
          </w:p>
          <w:p>
            <w:pPr>
              <w:spacing w:line="500" w:lineRule="exact"/>
              <w:rPr>
                <w:color w:val="FF0000"/>
              </w:rPr>
            </w:pPr>
            <w:r>
              <w:rPr>
                <w:rFonts w:hint="eastAsia" w:ascii="仿宋_GB2312" w:hAnsi="仿宋_GB2312" w:eastAsia="仿宋_GB2312" w:cs="仿宋_GB2312"/>
                <w:color w:val="auto"/>
              </w:rPr>
              <w:t xml:space="preserve">     2.联盟省（区、兵团）按照确定的采购量，负责分配</w:t>
            </w:r>
            <w:r>
              <w:rPr>
                <w:rFonts w:hint="eastAsia" w:ascii="仿宋_GB2312" w:hAnsi="仿宋_GB2312" w:eastAsia="仿宋_GB2312" w:cs="仿宋_GB2312"/>
              </w:rPr>
              <w:t>到本省区的具体医疗机构，并由医疗机构与中选企业签订带量采购合同。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736" w:type="dxa"/>
            <w:noWrap/>
            <w:vAlign w:val="center"/>
          </w:tcPr>
          <w:p>
            <w:pPr>
              <w:spacing w:line="500" w:lineRule="exact"/>
              <w:jc w:val="center"/>
              <w:rPr>
                <w:rFonts w:ascii="宋体" w:hAnsi="宋体" w:cs="宋体"/>
                <w:color w:val="000000"/>
                <w:szCs w:val="21"/>
              </w:rPr>
            </w:pPr>
            <w:r>
              <w:rPr>
                <w:rFonts w:hint="eastAsia" w:ascii="黑体" w:hAnsi="黑体" w:eastAsia="黑体" w:cs="黑体"/>
              </w:rPr>
              <w:t>9</w:t>
            </w:r>
          </w:p>
        </w:tc>
        <w:tc>
          <w:tcPr>
            <w:tcW w:w="1782" w:type="dxa"/>
            <w:noWrap/>
            <w:vAlign w:val="center"/>
          </w:tcPr>
          <w:p>
            <w:pPr>
              <w:spacing w:line="500" w:lineRule="exact"/>
            </w:pPr>
          </w:p>
          <w:p>
            <w:pPr>
              <w:spacing w:line="500" w:lineRule="exact"/>
              <w:jc w:val="center"/>
              <w:rPr>
                <w:rFonts w:ascii="黑体" w:hAnsi="黑体" w:eastAsia="黑体" w:cs="黑体"/>
              </w:rPr>
            </w:pPr>
            <w:r>
              <w:rPr>
                <w:rFonts w:hint="eastAsia" w:ascii="黑体" w:hAnsi="黑体" w:eastAsia="黑体" w:cs="黑体"/>
              </w:rPr>
              <w:t>产品中选</w:t>
            </w:r>
          </w:p>
          <w:p>
            <w:pPr>
              <w:spacing w:line="500" w:lineRule="exact"/>
              <w:jc w:val="center"/>
              <w:rPr>
                <w:rFonts w:ascii="黑体" w:hAnsi="黑体" w:eastAsia="黑体" w:cs="黑体"/>
              </w:rPr>
            </w:pPr>
            <w:r>
              <w:rPr>
                <w:rFonts w:hint="eastAsia" w:ascii="黑体" w:hAnsi="黑体" w:eastAsia="黑体" w:cs="黑体"/>
              </w:rPr>
              <w:t>价格要求</w:t>
            </w:r>
          </w:p>
          <w:p>
            <w:pPr>
              <w:spacing w:line="500" w:lineRule="exact"/>
              <w:jc w:val="center"/>
              <w:rPr>
                <w:rFonts w:ascii="宋体" w:hAnsi="宋体" w:cs="宋体"/>
                <w:color w:val="000000"/>
                <w:szCs w:val="21"/>
              </w:rPr>
            </w:pPr>
          </w:p>
        </w:tc>
        <w:tc>
          <w:tcPr>
            <w:tcW w:w="7234" w:type="dxa"/>
            <w:noWrap/>
            <w:vAlign w:val="center"/>
          </w:tcPr>
          <w:p>
            <w:pPr>
              <w:spacing w:line="500" w:lineRule="exact"/>
              <w:ind w:firstLine="420" w:firstLineChars="200"/>
              <w:rPr>
                <w:rFonts w:ascii="仿宋_GB2312" w:hAnsi="仿宋_GB2312" w:eastAsia="仿宋_GB2312" w:cs="仿宋_GB2312"/>
                <w:color w:val="auto"/>
              </w:rPr>
            </w:pPr>
            <w:r>
              <w:rPr>
                <w:rFonts w:hint="eastAsia" w:ascii="仿宋_GB2312" w:hAnsi="仿宋_GB2312" w:eastAsia="仿宋_GB2312" w:cs="仿宋_GB2312"/>
              </w:rPr>
              <w:t>1.产品中选价</w:t>
            </w:r>
            <w:r>
              <w:rPr>
                <w:rFonts w:hint="eastAsia" w:ascii="仿宋_GB2312" w:hAnsi="仿宋_GB2312" w:eastAsia="仿宋_GB2312" w:cs="仿宋_GB2312"/>
                <w:color w:val="auto"/>
              </w:rPr>
              <w:t>格即申报企业产品的实际供应价，应包括税费、配送费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伴随服务费</w:t>
            </w:r>
            <w:r>
              <w:rPr>
                <w:rFonts w:hint="eastAsia" w:ascii="仿宋_GB2312" w:hAnsi="仿宋_GB2312" w:eastAsia="仿宋_GB2312" w:cs="仿宋_GB2312"/>
                <w:color w:val="auto"/>
              </w:rPr>
              <w:t xml:space="preserve">等在内的所有费用。 </w:t>
            </w:r>
          </w:p>
          <w:p>
            <w:pPr>
              <w:spacing w:line="500" w:lineRule="exact"/>
              <w:ind w:firstLine="420" w:firstLineChars="200"/>
            </w:pPr>
            <w:r>
              <w:rPr>
                <w:rFonts w:hint="eastAsia" w:ascii="仿宋_GB2312" w:hAnsi="仿宋_GB2312" w:eastAsia="仿宋_GB2312" w:cs="仿宋_GB2312"/>
                <w:color w:val="auto"/>
              </w:rPr>
              <w:t>2.产品中选价格以人民币</w:t>
            </w:r>
            <w:r>
              <w:rPr>
                <w:rFonts w:hint="eastAsia" w:ascii="仿宋_GB2312" w:hAnsi="仿宋_GB2312" w:eastAsia="仿宋_GB2312" w:cs="仿宋_GB2312"/>
              </w:rPr>
              <w:t>（元）为单位（保留小数点后两位）。</w:t>
            </w:r>
            <w:r>
              <w:rPr>
                <w:rFonts w:hint="eastAsia"/>
              </w:rPr>
              <w:t xml:space="preserve"> </w:t>
            </w:r>
          </w:p>
        </w:tc>
      </w:tr>
    </w:tbl>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spacing w:line="600" w:lineRule="exact"/>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第</w:t>
      </w:r>
      <w:r>
        <w:rPr>
          <w:rFonts w:hint="eastAsia" w:ascii="方正小标宋简体" w:hAnsi="方正小标宋简体" w:eastAsia="方正小标宋简体" w:cs="方正小标宋简体"/>
          <w:bCs/>
          <w:spacing w:val="-20"/>
          <w:sz w:val="44"/>
          <w:szCs w:val="44"/>
          <w:lang w:eastAsia="zh-CN"/>
        </w:rPr>
        <w:t>三</w:t>
      </w:r>
      <w:r>
        <w:rPr>
          <w:rFonts w:hint="eastAsia" w:ascii="方正小标宋简体" w:hAnsi="方正小标宋简体" w:eastAsia="方正小标宋简体" w:cs="方正小标宋简体"/>
          <w:bCs/>
          <w:spacing w:val="-20"/>
          <w:sz w:val="44"/>
          <w:szCs w:val="44"/>
        </w:rPr>
        <w:t xml:space="preserve">章  </w:t>
      </w:r>
      <w:r>
        <w:rPr>
          <w:rFonts w:hint="eastAsia" w:ascii="方正小标宋简体" w:hAnsi="方正小标宋简体" w:eastAsia="方正小标宋简体" w:cs="方正小标宋简体"/>
          <w:bCs/>
          <w:spacing w:val="-20"/>
          <w:sz w:val="44"/>
          <w:szCs w:val="44"/>
          <w:lang w:val="en-US" w:eastAsia="zh-CN"/>
        </w:rPr>
        <w:t>企业申报资料</w:t>
      </w:r>
    </w:p>
    <w:p>
      <w:pPr>
        <w:spacing w:line="600" w:lineRule="exact"/>
        <w:ind w:firstLine="2400" w:firstLineChars="600"/>
        <w:jc w:val="center"/>
        <w:rPr>
          <w:rFonts w:ascii="方正小标宋简体" w:hAnsi="方正小标宋简体" w:eastAsia="方正小标宋简体" w:cs="方正小标宋简体"/>
          <w:bCs/>
          <w:spacing w:val="-20"/>
          <w:sz w:val="44"/>
          <w:szCs w:val="44"/>
        </w:rPr>
      </w:pPr>
    </w:p>
    <w:p>
      <w:pPr>
        <w:spacing w:line="600" w:lineRule="exact"/>
        <w:ind w:firstLine="560" w:firstLineChars="200"/>
        <w:rPr>
          <w:rFonts w:hint="eastAsia" w:ascii="黑体" w:hAnsi="黑体" w:eastAsia="黑体" w:cs="黑体"/>
          <w:spacing w:val="-20"/>
          <w:sz w:val="32"/>
          <w:szCs w:val="32"/>
        </w:rPr>
      </w:pPr>
      <w:r>
        <w:rPr>
          <w:rFonts w:hint="eastAsia" w:ascii="黑体" w:hAnsi="黑体" w:eastAsia="黑体" w:cs="黑体"/>
          <w:spacing w:val="-20"/>
          <w:sz w:val="32"/>
          <w:szCs w:val="32"/>
          <w:lang w:val="en-US" w:eastAsia="zh-CN"/>
        </w:rPr>
        <w:t>一、</w:t>
      </w:r>
      <w:r>
        <w:rPr>
          <w:rFonts w:hint="eastAsia" w:ascii="黑体" w:hAnsi="黑体" w:eastAsia="黑体" w:cs="黑体"/>
          <w:spacing w:val="-20"/>
          <w:sz w:val="32"/>
          <w:szCs w:val="32"/>
        </w:rPr>
        <w:t>申报文件的构成</w:t>
      </w: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申报人的申报文件由企业册和产品册组成。</w:t>
      </w:r>
    </w:p>
    <w:p>
      <w:pPr>
        <w:spacing w:line="600" w:lineRule="exact"/>
        <w:ind w:firstLine="56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1.企业册按表</w:t>
      </w:r>
      <w:r>
        <w:rPr>
          <w:rFonts w:hint="eastAsia" w:ascii="仿宋_GB2312" w:hAnsi="仿宋_GB2312" w:eastAsia="仿宋_GB2312" w:cs="仿宋_GB2312"/>
          <w:spacing w:val="-20"/>
          <w:sz w:val="32"/>
          <w:szCs w:val="32"/>
          <w:lang w:val="en-US" w:eastAsia="zh-CN"/>
        </w:rPr>
        <w:t>3</w:t>
      </w:r>
      <w:r>
        <w:rPr>
          <w:rFonts w:hint="eastAsia" w:ascii="仿宋_GB2312" w:hAnsi="仿宋_GB2312" w:eastAsia="仿宋_GB2312" w:cs="仿宋_GB2312"/>
          <w:spacing w:val="-20"/>
          <w:sz w:val="32"/>
          <w:szCs w:val="32"/>
        </w:rPr>
        <w:t>-1格式与要求编制。</w:t>
      </w:r>
    </w:p>
    <w:p>
      <w:pPr>
        <w:tabs>
          <w:tab w:val="left" w:pos="2625"/>
        </w:tabs>
        <w:spacing w:line="360" w:lineRule="auto"/>
        <w:jc w:val="center"/>
        <w:rPr>
          <w:rStyle w:val="14"/>
          <w:rFonts w:ascii="仿宋_GB2312" w:hAnsi="仿宋_GB2312" w:eastAsia="仿宋_GB2312" w:cs="仿宋_GB2312"/>
          <w:b/>
          <w:spacing w:val="-20"/>
          <w:sz w:val="32"/>
          <w:szCs w:val="32"/>
        </w:rPr>
      </w:pPr>
      <w:r>
        <w:rPr>
          <w:rStyle w:val="14"/>
          <w:rFonts w:hint="eastAsia" w:ascii="仿宋_GB2312" w:hAnsi="仿宋_GB2312" w:eastAsia="仿宋_GB2312" w:cs="仿宋_GB2312"/>
          <w:b/>
          <w:spacing w:val="-20"/>
          <w:sz w:val="32"/>
          <w:szCs w:val="32"/>
        </w:rPr>
        <w:t>表</w:t>
      </w:r>
      <w:r>
        <w:rPr>
          <w:rStyle w:val="14"/>
          <w:rFonts w:hint="eastAsia" w:ascii="仿宋_GB2312" w:hAnsi="仿宋_GB2312" w:eastAsia="仿宋_GB2312" w:cs="仿宋_GB2312"/>
          <w:b/>
          <w:spacing w:val="-20"/>
          <w:sz w:val="32"/>
          <w:szCs w:val="32"/>
          <w:lang w:val="en-US" w:eastAsia="zh-CN"/>
        </w:rPr>
        <w:t>3</w:t>
      </w:r>
      <w:r>
        <w:rPr>
          <w:rStyle w:val="14"/>
          <w:rFonts w:hint="eastAsia" w:ascii="仿宋_GB2312" w:hAnsi="仿宋_GB2312" w:eastAsia="仿宋_GB2312" w:cs="仿宋_GB2312"/>
          <w:b/>
          <w:spacing w:val="-20"/>
          <w:sz w:val="32"/>
          <w:szCs w:val="32"/>
        </w:rPr>
        <w:t>-1  申报材料企业册内容与要求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817"/>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0" w:type="auto"/>
            <w:noWrap/>
            <w:vAlign w:val="center"/>
          </w:tcPr>
          <w:p>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装订</w:t>
            </w:r>
          </w:p>
          <w:p>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顺序</w:t>
            </w:r>
          </w:p>
        </w:tc>
        <w:tc>
          <w:tcPr>
            <w:tcW w:w="4817" w:type="dxa"/>
            <w:noWrap/>
            <w:vAlign w:val="center"/>
          </w:tcPr>
          <w:p>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申报材料名称与说明</w:t>
            </w:r>
          </w:p>
        </w:tc>
        <w:tc>
          <w:tcPr>
            <w:tcW w:w="4025" w:type="dxa"/>
            <w:noWrap/>
            <w:vAlign w:val="center"/>
          </w:tcPr>
          <w:p>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企业册封面</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按格式文件1－1编制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法定代表人授权书</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按格式文件1－2编制（法定代表人授权书中授权企业需与进口产品总代理企业一致）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w:t>
            </w:r>
          </w:p>
        </w:tc>
        <w:tc>
          <w:tcPr>
            <w:tcW w:w="4817" w:type="dxa"/>
            <w:noWrap/>
            <w:vAlign w:val="center"/>
          </w:tcPr>
          <w:p>
            <w:pPr>
              <w:spacing w:line="400" w:lineRule="exact"/>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rPr>
              <w:t>申报授权与代理证明</w:t>
            </w:r>
          </w:p>
        </w:tc>
        <w:tc>
          <w:tcPr>
            <w:tcW w:w="4025" w:type="dxa"/>
            <w:noWrap/>
            <w:vAlign w:val="center"/>
          </w:tcPr>
          <w:p>
            <w:pPr>
              <w:spacing w:line="40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进口产品总代理提供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pPr>
              <w:spacing w:line="400" w:lineRule="exact"/>
              <w:jc w:val="center"/>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lang w:val="en-US" w:eastAsia="zh-CN"/>
              </w:rPr>
              <w:t>4</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《医疗器械生产企业许可证》或《医疗器械经营企业许可证》</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0" w:type="auto"/>
            <w:noWrap/>
            <w:vAlign w:val="center"/>
          </w:tcPr>
          <w:p>
            <w:pPr>
              <w:spacing w:line="400" w:lineRule="exact"/>
              <w:jc w:val="center"/>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lang w:val="en-US" w:eastAsia="zh-CN"/>
              </w:rPr>
              <w:t>5</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企业《营业执照》或副本</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noWrap/>
            <w:vAlign w:val="center"/>
          </w:tcPr>
          <w:p>
            <w:pPr>
              <w:spacing w:line="400" w:lineRule="exact"/>
              <w:jc w:val="center"/>
              <w:rPr>
                <w:rFonts w:hint="eastAsia" w:ascii="仿宋_GB2312" w:hAnsi="仿宋_GB2312" w:eastAsia="仿宋_GB2312" w:cs="仿宋_GB2312"/>
                <w:spacing w:val="-20"/>
                <w:sz w:val="28"/>
                <w:szCs w:val="28"/>
                <w:lang w:val="en-US" w:eastAsia="zh-CN"/>
              </w:rPr>
            </w:pPr>
            <w:r>
              <w:rPr>
                <w:rFonts w:hint="eastAsia" w:ascii="仿宋_GB2312" w:hAnsi="仿宋_GB2312" w:eastAsia="仿宋_GB2312" w:cs="仿宋_GB2312"/>
                <w:spacing w:val="-20"/>
                <w:sz w:val="28"/>
                <w:szCs w:val="28"/>
                <w:lang w:val="en-US" w:eastAsia="zh-CN"/>
              </w:rPr>
              <w:t>6</w:t>
            </w:r>
          </w:p>
        </w:tc>
        <w:tc>
          <w:tcPr>
            <w:tcW w:w="4817" w:type="dxa"/>
            <w:noWrap/>
            <w:vAlign w:val="center"/>
          </w:tcPr>
          <w:p>
            <w:pPr>
              <w:spacing w:line="400" w:lineRule="exact"/>
              <w:rPr>
                <w:rFonts w:ascii="仿宋_GB2312" w:hAnsi="仿宋_GB2312" w:eastAsia="仿宋_GB2312" w:cs="仿宋_GB2312"/>
                <w:spacing w:val="-20"/>
                <w:sz w:val="28"/>
                <w:szCs w:val="28"/>
              </w:rPr>
            </w:pPr>
            <w:r>
              <w:rPr>
                <w:rFonts w:hint="eastAsia" w:ascii="仿宋" w:hAnsi="仿宋" w:eastAsia="仿宋"/>
                <w:spacing w:val="-20"/>
                <w:sz w:val="28"/>
                <w:szCs w:val="28"/>
              </w:rPr>
              <w:t>申报产品对应的注册证</w:t>
            </w:r>
          </w:p>
        </w:tc>
        <w:tc>
          <w:tcPr>
            <w:tcW w:w="4025" w:type="dxa"/>
            <w:noWrap/>
            <w:vAlign w:val="center"/>
          </w:tcPr>
          <w:p>
            <w:pPr>
              <w:spacing w:line="0" w:lineRule="atLeast"/>
              <w:rPr>
                <w:rFonts w:hint="eastAsia" w:ascii="仿宋" w:hAnsi="仿宋" w:eastAsia="仿宋" w:cs="Times New Roman"/>
                <w:spacing w:val="-20"/>
                <w:kern w:val="2"/>
                <w:sz w:val="28"/>
                <w:szCs w:val="28"/>
                <w:lang w:val="en-US" w:eastAsia="zh-CN" w:bidi="ar-SA"/>
              </w:rPr>
            </w:pPr>
            <w:r>
              <w:rPr>
                <w:rFonts w:hint="eastAsia" w:ascii="仿宋" w:hAnsi="仿宋" w:eastAsia="仿宋"/>
                <w:spacing w:val="-20"/>
                <w:sz w:val="28"/>
                <w:szCs w:val="28"/>
              </w:rPr>
              <w:t>只需提供注册证首页</w:t>
            </w:r>
            <w:r>
              <w:rPr>
                <w:rFonts w:hint="eastAsia" w:ascii="仿宋_GB2312" w:hAnsi="仿宋_GB2312" w:eastAsia="仿宋_GB2312" w:cs="仿宋_GB2312"/>
                <w:spacing w:val="-20"/>
                <w:sz w:val="28"/>
                <w:szCs w:val="28"/>
              </w:rPr>
              <w:t>复印件</w:t>
            </w:r>
            <w:r>
              <w:rPr>
                <w:rFonts w:hint="eastAsia" w:ascii="仿宋" w:hAnsi="仿宋" w:eastAsia="仿宋"/>
                <w:spacing w:val="-20"/>
                <w:sz w:val="28"/>
                <w:szCs w:val="28"/>
                <w:lang w:eastAsia="zh-CN"/>
              </w:rPr>
              <w:t>（</w:t>
            </w:r>
            <w:r>
              <w:rPr>
                <w:rFonts w:hint="eastAsia" w:ascii="仿宋" w:hAnsi="仿宋" w:eastAsia="仿宋"/>
                <w:spacing w:val="-20"/>
                <w:sz w:val="28"/>
                <w:szCs w:val="28"/>
              </w:rPr>
              <w:t>注册证需在有效期内</w:t>
            </w:r>
            <w:r>
              <w:rPr>
                <w:rFonts w:hint="eastAsia" w:ascii="仿宋" w:hAnsi="仿宋" w:eastAsia="仿宋"/>
                <w:spacing w:val="-2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noWrap/>
            <w:vAlign w:val="center"/>
          </w:tcPr>
          <w:p>
            <w:pPr>
              <w:spacing w:line="400" w:lineRule="exact"/>
              <w:jc w:val="center"/>
              <w:rPr>
                <w:rFonts w:ascii="仿宋_GB2312" w:hAnsi="仿宋_GB2312" w:eastAsia="仿宋_GB2312" w:cs="仿宋_GB2312"/>
                <w:spacing w:val="-20"/>
                <w:kern w:val="2"/>
                <w:sz w:val="28"/>
                <w:szCs w:val="28"/>
                <w:lang w:val="en-US" w:eastAsia="zh-CN" w:bidi="ar-SA"/>
              </w:rPr>
            </w:pPr>
            <w:r>
              <w:rPr>
                <w:rFonts w:hint="eastAsia" w:ascii="仿宋_GB2312" w:hAnsi="仿宋_GB2312" w:eastAsia="仿宋_GB2312" w:cs="仿宋_GB2312"/>
                <w:spacing w:val="-20"/>
                <w:sz w:val="28"/>
                <w:szCs w:val="28"/>
              </w:rPr>
              <w:t>7</w:t>
            </w:r>
          </w:p>
        </w:tc>
        <w:tc>
          <w:tcPr>
            <w:tcW w:w="4817" w:type="dxa"/>
            <w:noWrap/>
            <w:vAlign w:val="center"/>
          </w:tcPr>
          <w:p>
            <w:pPr>
              <w:spacing w:line="400" w:lineRule="exact"/>
              <w:rPr>
                <w:rFonts w:ascii="仿宋_GB2312" w:hAnsi="仿宋_GB2312" w:eastAsia="仿宋_GB2312" w:cs="仿宋_GB2312"/>
                <w:spacing w:val="-20"/>
                <w:kern w:val="2"/>
                <w:sz w:val="28"/>
                <w:szCs w:val="28"/>
                <w:lang w:val="en-US" w:eastAsia="zh-CN" w:bidi="ar-SA"/>
              </w:rPr>
            </w:pPr>
            <w:r>
              <w:rPr>
                <w:rFonts w:hint="eastAsia" w:ascii="仿宋_GB2312" w:hAnsi="仿宋_GB2312" w:eastAsia="仿宋_GB2312" w:cs="仿宋_GB2312"/>
                <w:spacing w:val="-20"/>
                <w:sz w:val="28"/>
                <w:szCs w:val="28"/>
                <w:lang w:val="zh-CN"/>
              </w:rPr>
              <w:t>生产（经营）企业有关情况说明</w:t>
            </w:r>
          </w:p>
        </w:tc>
        <w:tc>
          <w:tcPr>
            <w:tcW w:w="4025" w:type="dxa"/>
            <w:noWrap/>
            <w:vAlign w:val="center"/>
          </w:tcPr>
          <w:p>
            <w:pPr>
              <w:spacing w:line="400" w:lineRule="exact"/>
              <w:rPr>
                <w:rFonts w:ascii="仿宋_GB2312" w:hAnsi="仿宋_GB2312" w:eastAsia="仿宋_GB2312" w:cs="仿宋_GB2312"/>
                <w:spacing w:val="-20"/>
                <w:kern w:val="2"/>
                <w:sz w:val="28"/>
                <w:szCs w:val="28"/>
                <w:lang w:val="en-US" w:eastAsia="zh-CN" w:bidi="ar-SA"/>
              </w:rPr>
            </w:pPr>
            <w:r>
              <w:rPr>
                <w:rFonts w:hint="eastAsia" w:ascii="仿宋_GB2312" w:hAnsi="仿宋_GB2312" w:eastAsia="仿宋_GB2312" w:cs="仿宋_GB2312"/>
                <w:spacing w:val="-20"/>
                <w:sz w:val="28"/>
                <w:szCs w:val="28"/>
              </w:rPr>
              <w:t>按格式文件1-</w:t>
            </w:r>
            <w:r>
              <w:rPr>
                <w:rFonts w:hint="eastAsia" w:ascii="仿宋_GB2312" w:hAnsi="仿宋_GB2312" w:eastAsia="仿宋_GB2312" w:cs="仿宋_GB2312"/>
                <w:spacing w:val="-20"/>
                <w:sz w:val="28"/>
                <w:szCs w:val="28"/>
                <w:lang w:val="en-US" w:eastAsia="zh-CN"/>
              </w:rPr>
              <w:t>3</w:t>
            </w:r>
            <w:r>
              <w:rPr>
                <w:rFonts w:hint="eastAsia" w:ascii="仿宋_GB2312" w:hAnsi="仿宋_GB2312" w:eastAsia="仿宋_GB2312" w:cs="仿宋_GB2312"/>
                <w:spacing w:val="-20"/>
                <w:sz w:val="28"/>
                <w:szCs w:val="28"/>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noWrap/>
            <w:vAlign w:val="center"/>
          </w:tcPr>
          <w:p>
            <w:pPr>
              <w:spacing w:line="400" w:lineRule="exact"/>
              <w:jc w:val="center"/>
              <w:rPr>
                <w:rFonts w:ascii="仿宋_GB2312" w:hAnsi="仿宋_GB2312" w:eastAsia="仿宋_GB2312" w:cs="仿宋_GB2312"/>
                <w:spacing w:val="-20"/>
                <w:kern w:val="2"/>
                <w:sz w:val="28"/>
                <w:szCs w:val="28"/>
                <w:lang w:val="en-US" w:eastAsia="zh-CN" w:bidi="ar-SA"/>
              </w:rPr>
            </w:pPr>
            <w:r>
              <w:rPr>
                <w:rFonts w:hint="eastAsia" w:ascii="仿宋_GB2312" w:hAnsi="仿宋_GB2312" w:eastAsia="仿宋_GB2312" w:cs="仿宋_GB2312"/>
                <w:spacing w:val="-20"/>
                <w:sz w:val="28"/>
                <w:szCs w:val="28"/>
              </w:rPr>
              <w:t xml:space="preserve">8 </w:t>
            </w:r>
          </w:p>
        </w:tc>
        <w:tc>
          <w:tcPr>
            <w:tcW w:w="4817" w:type="dxa"/>
            <w:noWrap/>
            <w:vAlign w:val="center"/>
          </w:tcPr>
          <w:p>
            <w:pPr>
              <w:spacing w:line="400" w:lineRule="exact"/>
              <w:rPr>
                <w:rFonts w:ascii="仿宋_GB2312" w:hAnsi="仿宋_GB2312" w:eastAsia="仿宋_GB2312" w:cs="仿宋_GB2312"/>
                <w:spacing w:val="-20"/>
                <w:kern w:val="2"/>
                <w:sz w:val="28"/>
                <w:szCs w:val="28"/>
                <w:lang w:val="en-US" w:eastAsia="zh-CN" w:bidi="ar-SA"/>
              </w:rPr>
            </w:pPr>
            <w:r>
              <w:rPr>
                <w:rFonts w:hint="eastAsia" w:ascii="仿宋_GB2312" w:hAnsi="仿宋_GB2312" w:eastAsia="仿宋_GB2312" w:cs="仿宋_GB2312"/>
                <w:spacing w:val="-20"/>
                <w:sz w:val="28"/>
                <w:szCs w:val="28"/>
              </w:rPr>
              <w:t>承诺函</w:t>
            </w:r>
          </w:p>
        </w:tc>
        <w:tc>
          <w:tcPr>
            <w:tcW w:w="4025" w:type="dxa"/>
            <w:noWrap/>
            <w:vAlign w:val="center"/>
          </w:tcPr>
          <w:p>
            <w:pPr>
              <w:spacing w:line="400" w:lineRule="exact"/>
              <w:rPr>
                <w:rFonts w:ascii="仿宋_GB2312" w:hAnsi="仿宋_GB2312" w:eastAsia="仿宋_GB2312" w:cs="仿宋_GB2312"/>
                <w:spacing w:val="-20"/>
                <w:kern w:val="2"/>
                <w:sz w:val="28"/>
                <w:szCs w:val="28"/>
                <w:lang w:val="en-US" w:eastAsia="zh-CN" w:bidi="ar-SA"/>
              </w:rPr>
            </w:pPr>
            <w:r>
              <w:rPr>
                <w:rFonts w:hint="eastAsia" w:ascii="仿宋_GB2312" w:hAnsi="仿宋_GB2312" w:eastAsia="仿宋_GB2312" w:cs="仿宋_GB2312"/>
                <w:spacing w:val="-20"/>
                <w:sz w:val="28"/>
                <w:szCs w:val="28"/>
              </w:rPr>
              <w:t>按格式文件1-</w:t>
            </w:r>
            <w:r>
              <w:rPr>
                <w:rFonts w:hint="eastAsia" w:ascii="仿宋_GB2312" w:hAnsi="仿宋_GB2312" w:eastAsia="仿宋_GB2312" w:cs="仿宋_GB2312"/>
                <w:spacing w:val="-20"/>
                <w:sz w:val="28"/>
                <w:szCs w:val="28"/>
                <w:lang w:val="en-US" w:eastAsia="zh-CN"/>
              </w:rPr>
              <w:t>4</w:t>
            </w:r>
            <w:r>
              <w:rPr>
                <w:rFonts w:hint="eastAsia" w:ascii="仿宋_GB2312" w:hAnsi="仿宋_GB2312" w:eastAsia="仿宋_GB2312" w:cs="仿宋_GB2312"/>
                <w:spacing w:val="-20"/>
                <w:sz w:val="28"/>
                <w:szCs w:val="28"/>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ign w:val="center"/>
          </w:tcPr>
          <w:p>
            <w:pPr>
              <w:spacing w:line="400" w:lineRule="exact"/>
              <w:jc w:val="center"/>
              <w:rPr>
                <w:rFonts w:hint="default" w:ascii="仿宋_GB2312" w:hAnsi="仿宋_GB2312" w:eastAsia="仿宋_GB2312" w:cs="仿宋_GB2312"/>
                <w:spacing w:val="-20"/>
                <w:sz w:val="28"/>
                <w:szCs w:val="28"/>
                <w:lang w:val="en-US" w:eastAsia="zh-CN"/>
              </w:rPr>
            </w:pPr>
            <w:r>
              <w:rPr>
                <w:rFonts w:hint="eastAsia" w:ascii="仿宋_GB2312" w:hAnsi="仿宋_GB2312" w:eastAsia="仿宋_GB2312" w:cs="仿宋_GB2312"/>
                <w:spacing w:val="-20"/>
                <w:sz w:val="28"/>
                <w:szCs w:val="28"/>
                <w:lang w:val="en-US" w:eastAsia="zh-CN"/>
              </w:rPr>
              <w:t>9</w:t>
            </w:r>
          </w:p>
        </w:tc>
        <w:tc>
          <w:tcPr>
            <w:tcW w:w="4817" w:type="dxa"/>
            <w:noWrap/>
            <w:vAlign w:val="center"/>
          </w:tcPr>
          <w:p>
            <w:pPr>
              <w:spacing w:line="400" w:lineRule="exact"/>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lang w:eastAsia="zh-CN"/>
              </w:rPr>
              <w:t>产品退市申请表（如有）</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w:t>
            </w:r>
            <w:r>
              <w:rPr>
                <w:rFonts w:hint="eastAsia" w:ascii="仿宋_GB2312" w:hAnsi="仿宋_GB2312" w:eastAsia="仿宋_GB2312" w:cs="仿宋_GB2312"/>
                <w:spacing w:val="-20"/>
                <w:sz w:val="28"/>
                <w:szCs w:val="28"/>
                <w:lang w:val="en-US" w:eastAsia="zh-CN"/>
              </w:rPr>
              <w:t>5</w:t>
            </w:r>
            <w:r>
              <w:rPr>
                <w:rFonts w:hint="eastAsia" w:ascii="仿宋_GB2312" w:hAnsi="仿宋_GB2312" w:eastAsia="仿宋_GB2312" w:cs="仿宋_GB2312"/>
                <w:spacing w:val="-20"/>
                <w:sz w:val="28"/>
                <w:szCs w:val="28"/>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ign w:val="center"/>
          </w:tcPr>
          <w:p>
            <w:pPr>
              <w:spacing w:line="400" w:lineRule="exact"/>
              <w:jc w:val="center"/>
              <w:rPr>
                <w:rFonts w:hint="default" w:ascii="仿宋_GB2312" w:hAnsi="仿宋_GB2312" w:eastAsia="仿宋_GB2312" w:cs="仿宋_GB2312"/>
                <w:spacing w:val="-20"/>
                <w:sz w:val="28"/>
                <w:szCs w:val="28"/>
                <w:lang w:val="en-US" w:eastAsia="zh-CN"/>
              </w:rPr>
            </w:pPr>
            <w:r>
              <w:rPr>
                <w:rFonts w:hint="eastAsia" w:ascii="仿宋_GB2312" w:hAnsi="仿宋_GB2312" w:eastAsia="仿宋_GB2312" w:cs="仿宋_GB2312"/>
                <w:spacing w:val="-20"/>
                <w:sz w:val="28"/>
                <w:szCs w:val="28"/>
                <w:lang w:val="en-US" w:eastAsia="zh-CN"/>
              </w:rPr>
              <w:t>10</w:t>
            </w:r>
          </w:p>
        </w:tc>
        <w:tc>
          <w:tcPr>
            <w:tcW w:w="4817" w:type="dxa"/>
            <w:noWrap/>
            <w:vAlign w:val="center"/>
          </w:tcPr>
          <w:p>
            <w:pPr>
              <w:spacing w:line="400" w:lineRule="exact"/>
              <w:rPr>
                <w:rFonts w:hint="eastAsia" w:ascii="仿宋_GB2312" w:hAnsi="仿宋_GB2312" w:eastAsia="仿宋_GB2312" w:cs="仿宋_GB2312"/>
                <w:spacing w:val="-20"/>
                <w:sz w:val="28"/>
                <w:szCs w:val="28"/>
                <w:lang w:eastAsia="zh-CN"/>
              </w:rPr>
            </w:pPr>
            <w:r>
              <w:rPr>
                <w:rFonts w:hint="eastAsia" w:ascii="仿宋_GB2312" w:hAnsi="仿宋_GB2312" w:eastAsia="仿宋_GB2312" w:cs="仿宋_GB2312"/>
                <w:spacing w:val="-20"/>
                <w:sz w:val="28"/>
                <w:szCs w:val="28"/>
                <w:lang w:eastAsia="zh-CN"/>
              </w:rPr>
              <w:t>无法全量供应情况说明（如有）</w:t>
            </w:r>
          </w:p>
        </w:tc>
        <w:tc>
          <w:tcPr>
            <w:tcW w:w="4025" w:type="dxa"/>
            <w:noWrap/>
            <w:vAlign w:val="center"/>
          </w:tcPr>
          <w:p>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w:t>
            </w:r>
            <w:r>
              <w:rPr>
                <w:rFonts w:hint="eastAsia" w:ascii="仿宋_GB2312" w:hAnsi="仿宋_GB2312" w:eastAsia="仿宋_GB2312" w:cs="仿宋_GB2312"/>
                <w:spacing w:val="-20"/>
                <w:sz w:val="28"/>
                <w:szCs w:val="28"/>
                <w:lang w:val="en-US" w:eastAsia="zh-CN"/>
              </w:rPr>
              <w:t>6</w:t>
            </w:r>
            <w:r>
              <w:rPr>
                <w:rFonts w:hint="eastAsia" w:ascii="仿宋_GB2312" w:hAnsi="仿宋_GB2312" w:eastAsia="仿宋_GB2312" w:cs="仿宋_GB2312"/>
                <w:spacing w:val="-20"/>
                <w:sz w:val="28"/>
                <w:szCs w:val="28"/>
              </w:rPr>
              <w:t>编制</w:t>
            </w:r>
          </w:p>
        </w:tc>
      </w:tr>
    </w:tbl>
    <w:p>
      <w:pPr>
        <w:spacing w:line="52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需同时提供一份电子版资料</w:t>
      </w:r>
    </w:p>
    <w:p>
      <w:pPr>
        <w:spacing w:line="600" w:lineRule="exact"/>
        <w:ind w:firstLine="560" w:firstLineChars="200"/>
        <w:rPr>
          <w:rFonts w:ascii="楷体_GB2312" w:hAnsi="楷体_GB2312" w:eastAsia="楷体_GB2312" w:cs="楷体_GB2312"/>
          <w:b/>
          <w:bCs/>
          <w:spacing w:val="-20"/>
          <w:sz w:val="32"/>
          <w:szCs w:val="32"/>
        </w:rPr>
      </w:pPr>
      <w:r>
        <w:rPr>
          <w:rFonts w:hint="eastAsia" w:ascii="楷体_GB2312" w:hAnsi="楷体_GB2312" w:eastAsia="楷体_GB2312" w:cs="楷体_GB2312"/>
          <w:b/>
          <w:bCs/>
          <w:spacing w:val="-20"/>
          <w:sz w:val="32"/>
          <w:szCs w:val="32"/>
        </w:rPr>
        <w:t>（二）编制文件的注意事项</w:t>
      </w:r>
    </w:p>
    <w:p>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1.所有申报材料必须真实、有效，符合采购文件要求。</w:t>
      </w:r>
    </w:p>
    <w:p>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2.证明材料必须清晰、明确，不清晰明确的，且未按时限要求补充相应合格材料的，按无效文件处理。</w:t>
      </w:r>
    </w:p>
    <w:p>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企业递交的所有文件材料及往来函电均使用中文，外文资料必须提供相应的中文翻译件，真实性、合法性由企业负责，在审核阶段，陕西省公共资源交易中心可要求申报人提供关于其它语言含义不明确或字迹模糊的有关内容的相关解答。</w:t>
      </w:r>
    </w:p>
    <w:p>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4.企业准备材料时应注意所有证照的有效期限。</w:t>
      </w:r>
    </w:p>
    <w:p>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5.材料应当逐页加盖单位鲜章，电子版扫描件要求清晰可辨。</w:t>
      </w:r>
    </w:p>
    <w:p>
      <w:pPr>
        <w:widowControl/>
        <w:ind w:firstLine="560" w:firstLineChars="200"/>
        <w:jc w:val="left"/>
        <w:rPr>
          <w:rFonts w:hint="eastAsia" w:ascii="仿宋" w:hAnsi="仿宋" w:eastAsia="仿宋"/>
          <w:spacing w:val="-20"/>
          <w:sz w:val="30"/>
          <w:szCs w:val="30"/>
        </w:rPr>
      </w:pPr>
      <w:r>
        <w:rPr>
          <w:rFonts w:hint="eastAsia" w:ascii="仿宋_GB2312" w:hAnsi="仿宋_GB2312" w:eastAsia="仿宋_GB2312" w:cs="仿宋_GB2312"/>
          <w:spacing w:val="-20"/>
          <w:sz w:val="32"/>
          <w:szCs w:val="32"/>
        </w:rPr>
        <w:t>6.未按时、按规定提交企业或产品信息的，按企业自</w:t>
      </w:r>
      <w:r>
        <w:rPr>
          <w:rFonts w:hint="eastAsia" w:ascii="仿宋" w:hAnsi="仿宋" w:eastAsia="仿宋"/>
          <w:spacing w:val="-20"/>
          <w:sz w:val="30"/>
          <w:szCs w:val="30"/>
        </w:rPr>
        <w:t>动放弃处理。</w:t>
      </w: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hint="eastAsia" w:ascii="黑体" w:hAnsi="黑体" w:eastAsia="黑体" w:cs="黑体"/>
          <w:bCs/>
          <w:spacing w:val="-20"/>
          <w:sz w:val="32"/>
          <w:szCs w:val="32"/>
        </w:rPr>
      </w:pPr>
      <w:r>
        <w:rPr>
          <w:rFonts w:hint="eastAsia" w:ascii="黑体" w:hAnsi="黑体" w:eastAsia="黑体" w:cs="黑体"/>
          <w:bCs/>
          <w:spacing w:val="-20"/>
          <w:sz w:val="32"/>
          <w:szCs w:val="32"/>
        </w:rPr>
        <w:t>格式文件1-1</w:t>
      </w:r>
    </w:p>
    <w:p>
      <w:pPr>
        <w:widowControl/>
        <w:jc w:val="center"/>
        <w:rPr>
          <w:rFonts w:hint="eastAsia" w:ascii="方正小标宋简体" w:hAnsi="方正小标宋简体" w:eastAsia="方正小标宋简体" w:cs="方正小标宋简体"/>
          <w:bCs/>
          <w:kern w:val="0"/>
          <w:sz w:val="36"/>
          <w:szCs w:val="36"/>
          <w:lang w:val="en-US" w:eastAsia="zh-CN"/>
        </w:rPr>
      </w:pPr>
    </w:p>
    <w:p>
      <w:pPr>
        <w:widowControl/>
        <w:jc w:val="center"/>
        <w:rPr>
          <w:rFonts w:ascii="方正小标宋简体" w:hAnsi="方正小标宋简体" w:eastAsia="方正小标宋简体" w:cs="方正小标宋简体"/>
          <w:bCs/>
          <w:spacing w:val="-20"/>
          <w:sz w:val="36"/>
          <w:szCs w:val="36"/>
          <w:lang w:val="zh-CN"/>
        </w:rPr>
      </w:pPr>
      <w:r>
        <w:rPr>
          <w:rFonts w:hint="eastAsia" w:ascii="方正小标宋简体" w:hAnsi="方正小标宋简体" w:eastAsia="方正小标宋简体" w:cs="方正小标宋简体"/>
          <w:bCs/>
          <w:kern w:val="0"/>
          <w:sz w:val="36"/>
          <w:szCs w:val="36"/>
          <w:lang w:val="en-US" w:eastAsia="zh-CN"/>
        </w:rPr>
        <w:t>省际联盟省（区、兵团）心脏起搏器集中带量采购</w:t>
      </w:r>
    </w:p>
    <w:p>
      <w:pPr>
        <w:autoSpaceDE w:val="0"/>
        <w:autoSpaceDN w:val="0"/>
        <w:adjustRightInd w:val="0"/>
        <w:spacing w:line="360" w:lineRule="auto"/>
        <w:jc w:val="center"/>
        <w:outlineLvl w:val="0"/>
        <w:rPr>
          <w:rFonts w:ascii="仿宋" w:hAnsi="仿宋" w:eastAsia="仿宋" w:cs="宋体"/>
          <w:b/>
          <w:bCs/>
          <w:spacing w:val="-20"/>
          <w:sz w:val="72"/>
          <w:szCs w:val="72"/>
          <w:lang w:val="zh-CN"/>
        </w:rPr>
      </w:pPr>
    </w:p>
    <w:p>
      <w:pPr>
        <w:autoSpaceDE w:val="0"/>
        <w:autoSpaceDN w:val="0"/>
        <w:adjustRightInd w:val="0"/>
        <w:spacing w:line="360" w:lineRule="auto"/>
        <w:jc w:val="center"/>
        <w:outlineLvl w:val="0"/>
        <w:rPr>
          <w:rFonts w:ascii="仿宋" w:hAnsi="仿宋" w:eastAsia="仿宋" w:cs="宋体"/>
          <w:b/>
          <w:bCs/>
          <w:spacing w:val="-20"/>
          <w:sz w:val="72"/>
          <w:szCs w:val="72"/>
          <w:lang w:val="zh-CN"/>
        </w:rPr>
      </w:pPr>
      <w:r>
        <w:rPr>
          <w:rFonts w:hint="eastAsia" w:ascii="方正小标宋简体" w:hAnsi="方正小标宋简体" w:eastAsia="方正小标宋简体" w:cs="方正小标宋简体"/>
          <w:spacing w:val="-20"/>
          <w:sz w:val="72"/>
          <w:szCs w:val="72"/>
          <w:lang w:val="zh-CN"/>
        </w:rPr>
        <w:t>申   报  材  料</w:t>
      </w:r>
    </w:p>
    <w:p>
      <w:pPr>
        <w:autoSpaceDE w:val="0"/>
        <w:autoSpaceDN w:val="0"/>
        <w:adjustRightInd w:val="0"/>
        <w:spacing w:line="360" w:lineRule="auto"/>
        <w:jc w:val="center"/>
        <w:outlineLvl w:val="0"/>
        <w:rPr>
          <w:rFonts w:ascii="仿宋" w:hAnsi="仿宋" w:eastAsia="仿宋" w:cs="宋体"/>
          <w:bCs/>
          <w:spacing w:val="-20"/>
          <w:sz w:val="44"/>
          <w:szCs w:val="44"/>
          <w:lang w:val="zh-CN"/>
        </w:rPr>
      </w:pPr>
    </w:p>
    <w:p>
      <w:pPr>
        <w:autoSpaceDE w:val="0"/>
        <w:autoSpaceDN w:val="0"/>
        <w:adjustRightInd w:val="0"/>
        <w:spacing w:line="360" w:lineRule="auto"/>
        <w:jc w:val="center"/>
        <w:outlineLvl w:val="0"/>
        <w:rPr>
          <w:rFonts w:ascii="仿宋" w:hAnsi="仿宋" w:eastAsia="仿宋" w:cs="宋体"/>
          <w:bCs/>
          <w:spacing w:val="-20"/>
          <w:sz w:val="44"/>
          <w:szCs w:val="44"/>
          <w:lang w:val="zh-CN"/>
        </w:rPr>
      </w:pPr>
    </w:p>
    <w:p>
      <w:pPr>
        <w:autoSpaceDE w:val="0"/>
        <w:autoSpaceDN w:val="0"/>
        <w:adjustRightInd w:val="0"/>
        <w:spacing w:line="360" w:lineRule="auto"/>
        <w:jc w:val="center"/>
        <w:outlineLvl w:val="0"/>
        <w:rPr>
          <w:rFonts w:ascii="仿宋" w:hAnsi="仿宋" w:eastAsia="仿宋" w:cs="宋体"/>
          <w:bCs/>
          <w:spacing w:val="-20"/>
          <w:sz w:val="44"/>
          <w:szCs w:val="44"/>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Cs/>
          <w:spacing w:val="-20"/>
          <w:sz w:val="36"/>
          <w:szCs w:val="36"/>
          <w:lang w:val="zh-CN"/>
        </w:rPr>
      </w:pPr>
    </w:p>
    <w:p>
      <w:pPr>
        <w:autoSpaceDE w:val="0"/>
        <w:autoSpaceDN w:val="0"/>
        <w:adjustRightInd w:val="0"/>
        <w:spacing w:line="500" w:lineRule="exact"/>
        <w:jc w:val="left"/>
        <w:outlineLvl w:val="0"/>
        <w:rPr>
          <w:rFonts w:ascii="仿宋" w:hAnsi="仿宋" w:eastAsia="仿宋" w:cs="宋体"/>
          <w:b/>
          <w:bCs/>
          <w:spacing w:val="-20"/>
          <w:sz w:val="36"/>
          <w:szCs w:val="36"/>
          <w:u w:val="single"/>
          <w:lang w:val="zh-CN"/>
        </w:rPr>
      </w:pPr>
      <w:r>
        <w:rPr>
          <w:rFonts w:hint="eastAsia" w:ascii="仿宋" w:hAnsi="仿宋" w:eastAsia="仿宋" w:cs="宋体"/>
          <w:bCs/>
          <w:spacing w:val="-20"/>
          <w:sz w:val="36"/>
          <w:szCs w:val="36"/>
        </w:rPr>
        <w:t xml:space="preserve">     </w:t>
      </w:r>
      <w:r>
        <w:rPr>
          <w:rFonts w:hint="eastAsia" w:ascii="仿宋" w:hAnsi="仿宋" w:eastAsia="仿宋" w:cs="宋体"/>
          <w:bCs/>
          <w:spacing w:val="-20"/>
          <w:sz w:val="36"/>
          <w:szCs w:val="36"/>
          <w:lang w:val="zh-CN"/>
        </w:rPr>
        <w:t>申报人名称：</w:t>
      </w:r>
      <w:r>
        <w:rPr>
          <w:rFonts w:hint="eastAsia" w:ascii="仿宋" w:hAnsi="仿宋" w:eastAsia="仿宋" w:cs="宋体"/>
          <w:b/>
          <w:bCs/>
          <w:spacing w:val="-20"/>
          <w:sz w:val="36"/>
          <w:szCs w:val="36"/>
          <w:u w:val="single"/>
          <w:lang w:val="zh-CN"/>
        </w:rPr>
        <w:t xml:space="preserve">                                      </w:t>
      </w:r>
    </w:p>
    <w:p>
      <w:pPr>
        <w:autoSpaceDE w:val="0"/>
        <w:autoSpaceDN w:val="0"/>
        <w:adjustRightInd w:val="0"/>
        <w:spacing w:line="500" w:lineRule="exact"/>
        <w:ind w:firstLine="960" w:firstLineChars="300"/>
        <w:jc w:val="left"/>
        <w:outlineLvl w:val="0"/>
        <w:rPr>
          <w:rFonts w:ascii="仿宋" w:hAnsi="仿宋" w:eastAsia="仿宋" w:cs="宋体"/>
          <w:b/>
          <w:bCs/>
          <w:spacing w:val="-20"/>
          <w:sz w:val="36"/>
          <w:szCs w:val="36"/>
          <w:lang w:val="zh-CN"/>
        </w:rPr>
      </w:pPr>
    </w:p>
    <w:p>
      <w:pPr>
        <w:spacing w:line="600" w:lineRule="exact"/>
        <w:rPr>
          <w:rFonts w:ascii="仿宋" w:hAnsi="仿宋" w:eastAsia="仿宋"/>
          <w:bCs/>
          <w:spacing w:val="-20"/>
          <w:sz w:val="24"/>
        </w:rPr>
      </w:pPr>
    </w:p>
    <w:p>
      <w:pPr>
        <w:spacing w:line="600" w:lineRule="exact"/>
        <w:rPr>
          <w:rFonts w:ascii="仿宋" w:hAnsi="仿宋" w:eastAsia="仿宋"/>
          <w:bCs/>
          <w:spacing w:val="-20"/>
          <w:sz w:val="24"/>
        </w:rPr>
      </w:pPr>
    </w:p>
    <w:p>
      <w:pPr>
        <w:spacing w:line="600" w:lineRule="exact"/>
        <w:rPr>
          <w:rFonts w:ascii="仿宋" w:hAnsi="仿宋" w:eastAsia="仿宋"/>
          <w:bCs/>
          <w:spacing w:val="-20"/>
          <w:sz w:val="24"/>
        </w:rPr>
      </w:pPr>
    </w:p>
    <w:p>
      <w:pPr>
        <w:spacing w:line="600" w:lineRule="exact"/>
        <w:rPr>
          <w:rFonts w:ascii="仿宋" w:hAnsi="仿宋" w:eastAsia="仿宋"/>
          <w:bCs/>
          <w:spacing w:val="-20"/>
          <w:sz w:val="24"/>
        </w:rPr>
      </w:pPr>
    </w:p>
    <w:p>
      <w:pPr>
        <w:spacing w:line="600" w:lineRule="exact"/>
        <w:rPr>
          <w:rFonts w:ascii="黑体" w:hAnsi="黑体" w:eastAsia="黑体" w:cs="黑体"/>
          <w:bCs/>
          <w:spacing w:val="-20"/>
          <w:sz w:val="32"/>
          <w:szCs w:val="32"/>
        </w:rPr>
      </w:pPr>
      <w:r>
        <w:rPr>
          <w:rFonts w:hint="eastAsia" w:ascii="黑体" w:hAnsi="黑体" w:eastAsia="黑体" w:cs="黑体"/>
          <w:bCs/>
          <w:spacing w:val="-20"/>
          <w:sz w:val="32"/>
          <w:szCs w:val="32"/>
        </w:rPr>
        <w:t xml:space="preserve">格式文件1－2 </w:t>
      </w:r>
    </w:p>
    <w:p>
      <w:pPr>
        <w:spacing w:line="600" w:lineRule="exact"/>
        <w:rPr>
          <w:rFonts w:ascii="方正小标宋简体" w:hAnsi="方正小标宋简体" w:eastAsia="方正小标宋简体" w:cs="方正小标宋简体"/>
          <w:bCs/>
          <w:spacing w:val="-20"/>
          <w:sz w:val="24"/>
        </w:rPr>
      </w:pPr>
      <w:r>
        <w:rPr>
          <w:rFonts w:hint="eastAsia" w:ascii="仿宋" w:hAnsi="仿宋" w:eastAsia="仿宋"/>
          <w:bCs/>
          <w:spacing w:val="-20"/>
          <w:sz w:val="24"/>
        </w:rPr>
        <w:t xml:space="preserve">                              </w:t>
      </w:r>
    </w:p>
    <w:p>
      <w:pPr>
        <w:spacing w:line="600" w:lineRule="exact"/>
        <w:ind w:firstLine="2600" w:firstLineChars="1300"/>
        <w:rPr>
          <w:rFonts w:ascii="方正小标宋简体" w:hAnsi="方正小标宋简体" w:eastAsia="方正小标宋简体" w:cs="方正小标宋简体"/>
          <w:b/>
          <w:spacing w:val="20"/>
          <w:sz w:val="44"/>
        </w:rPr>
      </w:pPr>
      <w:r>
        <w:rPr>
          <w:rFonts w:hint="eastAsia" w:ascii="方正小标宋简体" w:hAnsi="方正小标宋简体" w:eastAsia="方正小标宋简体" w:cs="方正小标宋简体"/>
          <w:bCs/>
          <w:spacing w:val="-20"/>
          <w:sz w:val="24"/>
        </w:rPr>
        <w:t xml:space="preserve">  </w:t>
      </w:r>
      <w:r>
        <w:rPr>
          <w:rFonts w:hint="eastAsia" w:ascii="方正小标宋简体" w:hAnsi="方正小标宋简体" w:eastAsia="方正小标宋简体" w:cs="方正小标宋简体"/>
          <w:b/>
          <w:spacing w:val="20"/>
          <w:sz w:val="44"/>
        </w:rPr>
        <w:t>法定代表人授权书</w:t>
      </w:r>
    </w:p>
    <w:p>
      <w:pPr>
        <w:spacing w:line="276" w:lineRule="auto"/>
        <w:rPr>
          <w:rFonts w:ascii="方正小标宋简体" w:hAnsi="方正小标宋简体" w:eastAsia="方正小标宋简体" w:cs="方正小标宋简体"/>
          <w:spacing w:val="-20"/>
          <w:sz w:val="30"/>
          <w:szCs w:val="30"/>
        </w:rPr>
      </w:pPr>
    </w:p>
    <w:p>
      <w:pPr>
        <w:spacing w:line="276" w:lineRule="auto"/>
        <w:rPr>
          <w:rFonts w:ascii="楷体" w:hAnsi="楷体" w:eastAsia="楷体"/>
          <w:spacing w:val="-20"/>
          <w:sz w:val="30"/>
          <w:szCs w:val="30"/>
        </w:rPr>
      </w:pPr>
      <w:r>
        <w:rPr>
          <w:rFonts w:hint="eastAsia" w:ascii="楷体" w:hAnsi="楷体" w:eastAsia="楷体"/>
          <w:spacing w:val="-20"/>
          <w:sz w:val="30"/>
          <w:szCs w:val="30"/>
        </w:rPr>
        <w:t>致：陕西省公共资源交易中心</w:t>
      </w:r>
    </w:p>
    <w:p>
      <w:pPr>
        <w:spacing w:before="156" w:beforeLines="50" w:line="600" w:lineRule="exact"/>
        <w:ind w:firstLine="480" w:firstLineChars="200"/>
        <w:rPr>
          <w:rFonts w:ascii="仿宋" w:hAnsi="仿宋" w:eastAsia="仿宋"/>
          <w:spacing w:val="-20"/>
          <w:sz w:val="28"/>
          <w:szCs w:val="28"/>
        </w:rPr>
      </w:pPr>
      <w:r>
        <w:rPr>
          <w:rFonts w:hint="eastAsia" w:ascii="仿宋" w:hAnsi="仿宋" w:eastAsia="仿宋"/>
          <w:spacing w:val="-20"/>
          <w:sz w:val="28"/>
          <w:szCs w:val="28"/>
        </w:rPr>
        <w:t>本授权书声明：注册于（企业地址）的（企业名称）（法定代表人姓名、职务）代表本企业授权（被授权人姓名）为本企业的唯一合法代理人，就本公司生产（经营）的</w:t>
      </w:r>
      <w:r>
        <w:rPr>
          <w:rFonts w:hint="eastAsia" w:ascii="仿宋" w:hAnsi="仿宋" w:eastAsia="仿宋" w:cs="仿宋"/>
          <w:sz w:val="28"/>
          <w:szCs w:val="28"/>
          <w:lang w:eastAsia="zh-CN"/>
        </w:rPr>
        <w:t>心脏起搏器</w:t>
      </w:r>
      <w:r>
        <w:rPr>
          <w:rFonts w:hint="eastAsia" w:ascii="仿宋" w:hAnsi="仿宋" w:eastAsia="仿宋"/>
          <w:spacing w:val="-20"/>
          <w:sz w:val="28"/>
          <w:szCs w:val="28"/>
        </w:rPr>
        <w:t>，在“省际联盟省（区、兵团）心脏起搏器集中带量采购”中进行申报，并在整个联合带量采购活动中，以本公司名义全权处理包括</w:t>
      </w:r>
      <w:r>
        <w:rPr>
          <w:rFonts w:hint="eastAsia" w:ascii="楷体" w:hAnsi="楷体" w:eastAsia="楷体"/>
          <w:spacing w:val="-20"/>
          <w:sz w:val="28"/>
          <w:szCs w:val="28"/>
          <w:u w:val="single"/>
        </w:rPr>
        <w:t>企业报名、材料申报、价格谈判、申诉投诉处理等一切有关的事务</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授权期限为：年月起至本次入围产品采购期结束。</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pPr>
        <w:spacing w:line="600" w:lineRule="exact"/>
        <w:rPr>
          <w:rFonts w:ascii="仿宋" w:hAnsi="仿宋" w:eastAsia="仿宋"/>
          <w:spacing w:val="-20"/>
          <w:sz w:val="28"/>
          <w:szCs w:val="28"/>
        </w:rPr>
      </w:pPr>
      <w:r>
        <w:rPr>
          <w:rFonts w:hint="eastAsia" w:ascii="仿宋" w:hAnsi="仿宋" w:eastAsia="仿宋"/>
          <w:spacing w:val="-20"/>
          <w:sz w:val="28"/>
          <w:szCs w:val="28"/>
        </w:rPr>
        <w:t>授权单位名称和盖章</w:t>
      </w:r>
    </w:p>
    <w:p>
      <w:pPr>
        <w:snapToGrid w:val="0"/>
        <w:spacing w:line="600" w:lineRule="exact"/>
        <w:rPr>
          <w:rFonts w:ascii="仿宋" w:hAnsi="仿宋" w:eastAsia="仿宋"/>
          <w:spacing w:val="-20"/>
          <w:sz w:val="28"/>
          <w:szCs w:val="28"/>
        </w:rPr>
      </w:pPr>
      <w:r>
        <w:rPr>
          <w:rFonts w:hint="eastAsia" w:ascii="仿宋" w:hAnsi="仿宋" w:eastAsia="仿宋"/>
          <w:spacing w:val="-20"/>
          <w:sz w:val="28"/>
          <w:szCs w:val="28"/>
        </w:rPr>
        <w:t xml:space="preserve">法定代表人签字：                                </w:t>
      </w:r>
      <w:r>
        <w:rPr>
          <w:rFonts w:hint="eastAsia" w:ascii="仿宋" w:hAnsi="仿宋" w:eastAsia="仿宋"/>
          <w:spacing w:val="-20"/>
          <w:sz w:val="30"/>
          <w:szCs w:val="30"/>
        </w:rPr>
        <w:t>被授权人</w:t>
      </w:r>
      <w:r>
        <w:rPr>
          <w:rFonts w:hint="eastAsia" w:ascii="仿宋" w:hAnsi="仿宋" w:eastAsia="仿宋"/>
          <w:spacing w:val="-20"/>
          <w:sz w:val="28"/>
          <w:szCs w:val="28"/>
        </w:rPr>
        <w:t>签字：</w:t>
      </w:r>
    </w:p>
    <w:p>
      <w:pPr>
        <w:snapToGrid w:val="0"/>
        <w:spacing w:line="600" w:lineRule="exact"/>
        <w:rPr>
          <w:rFonts w:ascii="仿宋" w:hAnsi="仿宋" w:eastAsia="仿宋"/>
          <w:spacing w:val="-20"/>
          <w:sz w:val="28"/>
          <w:szCs w:val="28"/>
        </w:rPr>
      </w:pPr>
      <w:r>
        <w:rPr>
          <w:rFonts w:hint="eastAsia" w:ascii="仿宋" w:hAnsi="仿宋" w:eastAsia="仿宋"/>
          <w:spacing w:val="-20"/>
          <w:sz w:val="30"/>
          <w:szCs w:val="30"/>
        </w:rPr>
        <w:t>被授权人</w:t>
      </w:r>
      <w:r>
        <w:rPr>
          <w:rFonts w:hint="eastAsia" w:ascii="仿宋" w:hAnsi="仿宋" w:eastAsia="仿宋"/>
          <w:spacing w:val="-20"/>
          <w:sz w:val="28"/>
          <w:szCs w:val="28"/>
        </w:rPr>
        <w:t>手机：                                  固定电话：</w:t>
      </w:r>
    </w:p>
    <w:p>
      <w:pPr>
        <w:spacing w:line="600" w:lineRule="exact"/>
        <w:rPr>
          <w:rFonts w:ascii="仿宋" w:hAnsi="仿宋" w:eastAsia="仿宋"/>
          <w:spacing w:val="-20"/>
        </w:rPr>
      </w:pPr>
      <w:r>
        <mc:AlternateContent>
          <mc:Choice Requires="wps">
            <w:drawing>
              <wp:anchor distT="0" distB="0" distL="114300" distR="114300" simplePos="0" relativeHeight="251660288" behindDoc="0" locked="0" layoutInCell="1" allowOverlap="1">
                <wp:simplePos x="0" y="0"/>
                <wp:positionH relativeFrom="column">
                  <wp:posOffset>2828925</wp:posOffset>
                </wp:positionH>
                <wp:positionV relativeFrom="paragraph">
                  <wp:posOffset>109220</wp:posOffset>
                </wp:positionV>
                <wp:extent cx="2533650" cy="1599565"/>
                <wp:effectExtent l="4445" t="4445" r="14605" b="15240"/>
                <wp:wrapNone/>
                <wp:docPr id="25" name="矩形 25"/>
                <wp:cNvGraphicFramePr/>
                <a:graphic xmlns:a="http://schemas.openxmlformats.org/drawingml/2006/main">
                  <a:graphicData uri="http://schemas.microsoft.com/office/word/2010/wordprocessingShape">
                    <wps:wsp>
                      <wps:cNvSpPr/>
                      <wps:spPr>
                        <a:xfrm>
                          <a:off x="0" y="0"/>
                          <a:ext cx="2533650"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wps:txbx>
                      <wps:bodyPr upright="1"/>
                    </wps:wsp>
                  </a:graphicData>
                </a:graphic>
              </wp:anchor>
            </w:drawing>
          </mc:Choice>
          <mc:Fallback>
            <w:pict>
              <v:rect id="_x0000_s1026" o:spid="_x0000_s1026" o:spt="1" style="position:absolute;left:0pt;margin-left:222.75pt;margin-top:8.6pt;height:125.95pt;width:199.5pt;z-index:251660288;mso-width-relative:page;mso-height-relative:page;" fillcolor="#FFFFFF" filled="t" stroked="t" coordsize="21600,21600"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wKGw2AAAAAoBAAAPAAAAAAAAAAEAIAAAACIA&#10;AABkcnMvZG93bnJldi54bWxQSwECFAAUAAAACACHTuJAkfzxiAkCAAA6BAAADgAAAAAAAAABACAA&#10;AAAnAQAAZHJzL2Uyb0RvYy54bWxQSwUGAAAAAAYABgBZAQAAogU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109220</wp:posOffset>
                </wp:positionV>
                <wp:extent cx="2676525" cy="1599565"/>
                <wp:effectExtent l="4445" t="4445" r="5080" b="15240"/>
                <wp:wrapNone/>
                <wp:docPr id="26" name="矩形 26"/>
                <wp:cNvGraphicFramePr/>
                <a:graphic xmlns:a="http://schemas.openxmlformats.org/drawingml/2006/main">
                  <a:graphicData uri="http://schemas.microsoft.com/office/word/2010/wordprocessingShape">
                    <wps:wsp>
                      <wps:cNvSpPr/>
                      <wps:spPr>
                        <a:xfrm>
                          <a:off x="0" y="0"/>
                          <a:ext cx="2676525"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wps:txbx>
                      <wps:bodyPr upright="1"/>
                    </wps:wsp>
                  </a:graphicData>
                </a:graphic>
              </wp:anchor>
            </w:drawing>
          </mc:Choice>
          <mc:Fallback>
            <w:pict>
              <v:rect id="_x0000_s1026" o:spid="_x0000_s1026" o:spt="1" style="position:absolute;left:0pt;margin-left:3pt;margin-top:8.6pt;height:125.95pt;width:210.75pt;z-index:251661312;mso-width-relative:page;mso-height-relative:page;" fillcolor="#FFFFFF" filled="t" stroked="t" coordsize="21600,21600"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cn47NcAAAAIAQAADwAAAAAAAAABACAAAAAiAAAAZHJz&#10;L2Rvd25yZXYueG1sUEsBAhQAFAAAAAgAh07iQB2BPacFAgAAOgQAAA4AAAAAAAAAAQAgAAAAJgEA&#10;AGRycy9lMm9Eb2MueG1sUEsFBgAAAAAGAAYAWQEAAJ0FA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v:textbox>
              </v:rect>
            </w:pict>
          </mc:Fallback>
        </mc:AlternateContent>
      </w:r>
    </w:p>
    <w:p>
      <w:pPr>
        <w:tabs>
          <w:tab w:val="left" w:pos="5040"/>
        </w:tabs>
        <w:spacing w:line="600" w:lineRule="exact"/>
        <w:rPr>
          <w:rFonts w:ascii="仿宋" w:hAnsi="仿宋" w:eastAsia="仿宋"/>
          <w:spacing w:val="-20"/>
        </w:rPr>
      </w:pPr>
      <w:r>
        <w:rPr>
          <w:rFonts w:ascii="仿宋" w:hAnsi="仿宋" w:eastAsia="仿宋"/>
          <w:spacing w:val="-20"/>
        </w:rPr>
        <w:tab/>
      </w:r>
    </w:p>
    <w:p>
      <w:pPr>
        <w:tabs>
          <w:tab w:val="left" w:pos="5040"/>
        </w:tabs>
        <w:spacing w:line="600" w:lineRule="exact"/>
        <w:rPr>
          <w:rFonts w:ascii="仿宋" w:hAnsi="仿宋" w:eastAsia="仿宋"/>
          <w:spacing w:val="-20"/>
        </w:rPr>
      </w:pPr>
    </w:p>
    <w:p>
      <w:pPr>
        <w:spacing w:line="600" w:lineRule="exact"/>
        <w:rPr>
          <w:rFonts w:ascii="仿宋" w:hAnsi="仿宋" w:eastAsia="仿宋"/>
          <w:bCs/>
          <w:spacing w:val="-20"/>
          <w:sz w:val="24"/>
        </w:rPr>
      </w:pPr>
    </w:p>
    <w:p>
      <w:pPr>
        <w:spacing w:line="600" w:lineRule="exact"/>
        <w:rPr>
          <w:rFonts w:ascii="仿宋" w:hAnsi="仿宋" w:eastAsia="仿宋"/>
          <w:bCs/>
          <w:spacing w:val="-20"/>
          <w:sz w:val="24"/>
        </w:rPr>
      </w:pPr>
    </w:p>
    <w:p>
      <w:pPr>
        <w:widowControl/>
        <w:spacing w:line="560" w:lineRule="exact"/>
        <w:jc w:val="left"/>
        <w:rPr>
          <w:rFonts w:hint="eastAsia" w:ascii="黑体" w:hAnsi="黑体" w:eastAsia="黑体" w:cs="黑体"/>
          <w:bCs/>
          <w:spacing w:val="-20"/>
          <w:sz w:val="32"/>
          <w:szCs w:val="32"/>
        </w:rPr>
      </w:pPr>
    </w:p>
    <w:p>
      <w:pPr>
        <w:widowControl/>
        <w:spacing w:line="560" w:lineRule="exact"/>
        <w:jc w:val="left"/>
        <w:rPr>
          <w:rFonts w:hint="eastAsia" w:ascii="黑体" w:hAnsi="黑体" w:eastAsia="黑体" w:cs="黑体"/>
          <w:bCs/>
          <w:spacing w:val="-20"/>
          <w:sz w:val="32"/>
          <w:szCs w:val="32"/>
        </w:rPr>
      </w:pPr>
    </w:p>
    <w:p>
      <w:pPr>
        <w:widowControl/>
        <w:spacing w:line="560" w:lineRule="exact"/>
        <w:jc w:val="left"/>
        <w:rPr>
          <w:rFonts w:hint="eastAsia" w:ascii="黑体" w:hAnsi="黑体" w:eastAsia="黑体" w:cs="黑体"/>
          <w:bCs/>
          <w:spacing w:val="-20"/>
          <w:sz w:val="32"/>
          <w:szCs w:val="32"/>
        </w:rPr>
      </w:pPr>
    </w:p>
    <w:p>
      <w:pPr>
        <w:widowControl/>
        <w:spacing w:line="560" w:lineRule="exact"/>
        <w:jc w:val="left"/>
        <w:rPr>
          <w:rFonts w:hint="eastAsia" w:ascii="黑体" w:hAnsi="黑体" w:eastAsia="黑体" w:cs="黑体"/>
          <w:bCs/>
          <w:spacing w:val="-20"/>
          <w:sz w:val="32"/>
          <w:szCs w:val="32"/>
          <w:lang w:eastAsia="zh-CN"/>
        </w:rPr>
      </w:pPr>
      <w:r>
        <w:rPr>
          <w:rFonts w:hint="eastAsia" w:ascii="黑体" w:hAnsi="黑体" w:eastAsia="黑体" w:cs="黑体"/>
          <w:bCs/>
          <w:spacing w:val="-20"/>
          <w:sz w:val="32"/>
          <w:szCs w:val="32"/>
        </w:rPr>
        <w:t>格式文件1－</w:t>
      </w:r>
      <w:r>
        <w:rPr>
          <w:rFonts w:hint="eastAsia" w:ascii="黑体" w:hAnsi="黑体" w:eastAsia="黑体" w:cs="黑体"/>
          <w:bCs/>
          <w:spacing w:val="-20"/>
          <w:sz w:val="32"/>
          <w:szCs w:val="32"/>
          <w:lang w:val="en-US" w:eastAsia="zh-CN"/>
        </w:rPr>
        <w:t>3</w:t>
      </w:r>
    </w:p>
    <w:p>
      <w:pPr>
        <w:widowControl/>
        <w:spacing w:line="560" w:lineRule="exact"/>
        <w:jc w:val="left"/>
        <w:rPr>
          <w:rFonts w:ascii="黑体" w:hAnsi="黑体" w:eastAsia="黑体" w:cs="黑体"/>
          <w:bCs/>
          <w:spacing w:val="-20"/>
          <w:sz w:val="32"/>
          <w:szCs w:val="32"/>
        </w:rPr>
      </w:pPr>
    </w:p>
    <w:p>
      <w:pPr>
        <w:spacing w:line="600" w:lineRule="exact"/>
        <w:jc w:val="center"/>
        <w:rPr>
          <w:rFonts w:ascii="方正小标宋简体" w:hAnsi="方正小标宋简体" w:eastAsia="方正小标宋简体" w:cs="方正小标宋简体"/>
          <w:bCs/>
          <w:spacing w:val="20"/>
          <w:sz w:val="44"/>
          <w:szCs w:val="44"/>
          <w:lang w:val="zh-CN"/>
        </w:rPr>
      </w:pPr>
      <w:r>
        <w:rPr>
          <w:rFonts w:hint="eastAsia" w:ascii="方正小标宋简体" w:hAnsi="方正小标宋简体" w:eastAsia="方正小标宋简体" w:cs="方正小标宋简体"/>
          <w:bCs/>
          <w:spacing w:val="20"/>
          <w:sz w:val="44"/>
          <w:szCs w:val="44"/>
          <w:lang w:val="zh-CN"/>
        </w:rPr>
        <w:t>生产（经营）企业有关情况说明</w:t>
      </w:r>
    </w:p>
    <w:p>
      <w:pPr>
        <w:spacing w:line="600" w:lineRule="exact"/>
        <w:jc w:val="center"/>
        <w:rPr>
          <w:rFonts w:ascii="方正小标宋简体" w:hAnsi="方正小标宋简体" w:eastAsia="方正小标宋简体" w:cs="方正小标宋简体"/>
          <w:bCs/>
          <w:spacing w:val="20"/>
          <w:sz w:val="44"/>
          <w:szCs w:val="44"/>
          <w:lang w:val="zh-CN"/>
        </w:rPr>
      </w:pPr>
    </w:p>
    <w:p>
      <w:pPr>
        <w:spacing w:line="600" w:lineRule="exact"/>
        <w:rPr>
          <w:rFonts w:ascii="仿宋" w:hAnsi="仿宋" w:eastAsia="仿宋" w:cs="宋体"/>
          <w:spacing w:val="-20"/>
          <w:sz w:val="28"/>
          <w:szCs w:val="28"/>
          <w:lang w:val="zh-CN"/>
        </w:rPr>
      </w:pPr>
      <w:r>
        <w:rPr>
          <w:rFonts w:hint="eastAsia" w:ascii="仿宋" w:hAnsi="仿宋" w:eastAsia="仿宋" w:cs="宋体"/>
          <w:spacing w:val="-20"/>
          <w:sz w:val="28"/>
          <w:szCs w:val="28"/>
          <w:lang w:val="zh-CN"/>
        </w:rPr>
        <w:t>生产（经营）企业名称（盖章）：</w:t>
      </w:r>
    </w:p>
    <w:tbl>
      <w:tblPr>
        <w:tblStyle w:val="9"/>
        <w:tblW w:w="8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3"/>
        <w:gridCol w:w="106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trPr>
        <w:tc>
          <w:tcPr>
            <w:tcW w:w="5453" w:type="dxa"/>
            <w:noWrap/>
            <w:vAlign w:val="top"/>
          </w:tcPr>
          <w:p>
            <w:pPr>
              <w:spacing w:line="600" w:lineRule="exact"/>
              <w:jc w:val="center"/>
              <w:rPr>
                <w:rFonts w:ascii="黑体" w:hAnsi="黑体" w:eastAsia="黑体" w:cs="黑体"/>
                <w:bCs/>
                <w:spacing w:val="-20"/>
                <w:sz w:val="28"/>
                <w:szCs w:val="28"/>
                <w:lang w:val="zh-CN"/>
              </w:rPr>
            </w:pPr>
            <w:r>
              <w:rPr>
                <w:rFonts w:hint="eastAsia" w:ascii="黑体" w:hAnsi="黑体" w:eastAsia="黑体" w:cs="黑体"/>
                <w:bCs/>
                <w:spacing w:val="-20"/>
                <w:sz w:val="28"/>
                <w:szCs w:val="28"/>
                <w:lang w:val="zh-CN"/>
              </w:rPr>
              <w:t>需要说明的事项</w:t>
            </w:r>
          </w:p>
        </w:tc>
        <w:tc>
          <w:tcPr>
            <w:tcW w:w="1068" w:type="dxa"/>
            <w:noWrap/>
            <w:vAlign w:val="top"/>
          </w:tcPr>
          <w:p>
            <w:pPr>
              <w:spacing w:line="600" w:lineRule="exact"/>
              <w:jc w:val="center"/>
              <w:rPr>
                <w:rFonts w:ascii="黑体" w:hAnsi="黑体" w:eastAsia="黑体" w:cs="黑体"/>
                <w:bCs/>
                <w:spacing w:val="-20"/>
                <w:sz w:val="28"/>
                <w:szCs w:val="28"/>
                <w:lang w:val="zh-CN"/>
              </w:rPr>
            </w:pPr>
            <w:r>
              <w:rPr>
                <w:rFonts w:hint="eastAsia" w:ascii="黑体" w:hAnsi="黑体" w:eastAsia="黑体" w:cs="黑体"/>
                <w:bCs/>
                <w:spacing w:val="-20"/>
                <w:sz w:val="28"/>
                <w:szCs w:val="28"/>
                <w:lang w:val="zh-CN"/>
              </w:rPr>
              <w:t>有/无</w:t>
            </w:r>
          </w:p>
        </w:tc>
        <w:tc>
          <w:tcPr>
            <w:tcW w:w="2225" w:type="dxa"/>
            <w:noWrap/>
            <w:vAlign w:val="top"/>
          </w:tcPr>
          <w:p>
            <w:pPr>
              <w:spacing w:line="600" w:lineRule="exact"/>
              <w:jc w:val="center"/>
              <w:rPr>
                <w:rFonts w:ascii="黑体" w:hAnsi="黑体" w:eastAsia="黑体" w:cs="黑体"/>
                <w:bCs/>
                <w:spacing w:val="-20"/>
                <w:sz w:val="28"/>
                <w:szCs w:val="28"/>
                <w:lang w:val="zh-CN"/>
              </w:rPr>
            </w:pPr>
            <w:r>
              <w:rPr>
                <w:rFonts w:hint="eastAsia" w:ascii="黑体" w:hAnsi="黑体" w:eastAsia="黑体" w:cs="黑体"/>
                <w:bCs/>
                <w:spacing w:val="-20"/>
                <w:sz w:val="28"/>
                <w:szCs w:val="28"/>
                <w:lang w:val="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3" w:type="dxa"/>
            <w:noWrap/>
            <w:vAlign w:val="center"/>
          </w:tcPr>
          <w:p>
            <w:pPr>
              <w:spacing w:before="50" w:after="50" w:line="560" w:lineRule="exact"/>
              <w:rPr>
                <w:rFonts w:ascii="仿宋" w:hAnsi="仿宋" w:eastAsia="仿宋"/>
                <w:spacing w:val="-20"/>
                <w:sz w:val="28"/>
                <w:szCs w:val="28"/>
              </w:rPr>
            </w:pPr>
            <w:r>
              <w:rPr>
                <w:rFonts w:hint="eastAsia" w:ascii="仿宋" w:hAnsi="仿宋" w:eastAsia="仿宋"/>
                <w:color w:val="auto"/>
                <w:spacing w:val="-20"/>
                <w:sz w:val="28"/>
                <w:szCs w:val="28"/>
                <w:lang w:val="en-US" w:eastAsia="zh-CN"/>
              </w:rPr>
              <w:t>2020</w:t>
            </w:r>
            <w:r>
              <w:rPr>
                <w:rFonts w:hint="eastAsia" w:ascii="仿宋" w:hAnsi="仿宋" w:eastAsia="仿宋"/>
                <w:color w:val="auto"/>
                <w:spacing w:val="-20"/>
                <w:sz w:val="28"/>
                <w:szCs w:val="28"/>
              </w:rPr>
              <w:t>年以来，同一申报产品在国家和生产企业（境外和港澳台医用耗材</w:t>
            </w:r>
            <w:r>
              <w:rPr>
                <w:rFonts w:hint="eastAsia" w:ascii="仿宋" w:hAnsi="仿宋" w:eastAsia="仿宋"/>
                <w:spacing w:val="-20"/>
                <w:sz w:val="28"/>
                <w:szCs w:val="28"/>
              </w:rPr>
              <w:t>总代理）所在地省级“医疗器械质量公告”或相关文件中有无2次以上（含2次）质量不合格记录。</w:t>
            </w:r>
          </w:p>
          <w:p>
            <w:pPr>
              <w:spacing w:before="50" w:after="50" w:line="560" w:lineRule="exact"/>
              <w:rPr>
                <w:rFonts w:ascii="仿宋" w:hAnsi="仿宋" w:eastAsia="仿宋"/>
                <w:color w:val="auto"/>
                <w:spacing w:val="-20"/>
                <w:sz w:val="28"/>
                <w:szCs w:val="28"/>
              </w:rPr>
            </w:pPr>
            <w:r>
              <w:rPr>
                <w:rFonts w:hint="eastAsia" w:ascii="仿宋" w:hAnsi="仿宋" w:eastAsia="仿宋"/>
                <w:color w:val="auto"/>
                <w:spacing w:val="-20"/>
                <w:sz w:val="28"/>
                <w:szCs w:val="28"/>
                <w:lang w:val="en-US" w:eastAsia="zh-CN"/>
              </w:rPr>
              <w:t>2020</w:t>
            </w:r>
            <w:r>
              <w:rPr>
                <w:rFonts w:hint="eastAsia" w:ascii="仿宋" w:hAnsi="仿宋" w:eastAsia="仿宋"/>
                <w:color w:val="auto"/>
                <w:spacing w:val="-20"/>
                <w:sz w:val="28"/>
                <w:szCs w:val="28"/>
              </w:rPr>
              <w:t>年以来，</w:t>
            </w:r>
            <w:r>
              <w:rPr>
                <w:rFonts w:ascii="仿宋" w:hAnsi="仿宋" w:eastAsia="仿宋"/>
                <w:color w:val="auto"/>
                <w:spacing w:val="-20"/>
                <w:sz w:val="28"/>
                <w:szCs w:val="28"/>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-7620</wp:posOffset>
                      </wp:positionV>
                      <wp:extent cx="5543550" cy="19050"/>
                      <wp:effectExtent l="0" t="4445" r="0" b="5080"/>
                      <wp:wrapNone/>
                      <wp:docPr id="27" name="直接箭头连接符 27"/>
                      <wp:cNvGraphicFramePr/>
                      <a:graphic xmlns:a="http://schemas.openxmlformats.org/drawingml/2006/main">
                        <a:graphicData uri="http://schemas.microsoft.com/office/word/2010/wordprocessingShape">
                          <wps:wsp>
                            <wps:cNvCnPr/>
                            <wps:spPr>
                              <a:xfrm flipV="1">
                                <a:off x="0" y="0"/>
                                <a:ext cx="5543550" cy="190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5.1pt;margin-top:-0.6pt;height:1.5pt;width:436.5pt;z-index:251662336;mso-width-relative:page;mso-height-relative:page;" filled="f" stroked="t" coordsize="21600,21600" o:gfxdata="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YY7SNUAAAAIAQAADwAAAAAAAAABACAAAAAi&#10;AAAAZHJzL2Rvd25yZXYueG1sUEsBAhQAFAAAAAgAh07iQGzyaDoNAgAACgQAAA4AAAAAAAAAAQAg&#10;AAAAJAEAAGRycy9lMm9Eb2MueG1sUEsFBgAAAAAGAAYAWQEAAKMFAAAAAA==&#10;">
                      <v:fill on="f" focussize="0,0"/>
                      <v:stroke color="#000000" joinstyle="round"/>
                      <v:imagedata o:title=""/>
                      <o:lock v:ext="edit" aspectratio="f"/>
                    </v:shape>
                  </w:pict>
                </mc:Fallback>
              </mc:AlternateContent>
            </w:r>
            <w:r>
              <w:rPr>
                <w:rFonts w:hint="eastAsia" w:ascii="仿宋" w:hAnsi="仿宋" w:eastAsia="仿宋"/>
                <w:color w:val="auto"/>
                <w:spacing w:val="-20"/>
                <w:sz w:val="28"/>
                <w:szCs w:val="28"/>
              </w:rPr>
              <w:t>申报企业有无3个以上（含3个）品种医用耗材质量不合格记录。</w:t>
            </w:r>
          </w:p>
          <w:p>
            <w:pPr>
              <w:spacing w:before="50" w:after="50" w:line="560" w:lineRule="exact"/>
              <w:rPr>
                <w:rFonts w:ascii="仿宋" w:hAnsi="仿宋" w:eastAsia="仿宋"/>
                <w:color w:val="auto"/>
                <w:spacing w:val="-20"/>
                <w:sz w:val="28"/>
                <w:szCs w:val="28"/>
              </w:rPr>
            </w:pPr>
            <w:r>
              <w:rPr>
                <w:rFonts w:ascii="仿宋" w:hAnsi="仿宋" w:eastAsia="仿宋"/>
                <w:color w:val="auto"/>
                <w:spacing w:val="-20"/>
                <w:sz w:val="28"/>
                <w:szCs w:val="28"/>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-1270</wp:posOffset>
                      </wp:positionV>
                      <wp:extent cx="5543550" cy="9525"/>
                      <wp:effectExtent l="0" t="0" r="0" b="0"/>
                      <wp:wrapNone/>
                      <wp:docPr id="29" name="直接箭头连接符 29"/>
                      <wp:cNvGraphicFramePr/>
                      <a:graphic xmlns:a="http://schemas.openxmlformats.org/drawingml/2006/main">
                        <a:graphicData uri="http://schemas.microsoft.com/office/word/2010/wordprocessingShape">
                          <wps:wsp>
                            <wps:cNvCnPr/>
                            <wps:spPr>
                              <a:xfrm flipV="1">
                                <a:off x="0" y="0"/>
                                <a:ext cx="5543550"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5.1pt;margin-top:-0.1pt;height:0.75pt;width:436.5pt;z-index:251663360;mso-width-relative:page;mso-height-relative:page;" filled="f" stroked="t" coordsize="21600,21600" o:gfxdata="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E72dQAAAAHAQAADwAAAAAAAAABACAAAAAiAAAAZHJz&#10;L2Rvd25yZXYueG1sUEsBAhQAFAAAAAgAh07iQHiuFrMIAgAACQQAAA4AAAAAAAAAAQAgAAAAIwEA&#10;AGRycy9lMm9Eb2MueG1sUEsFBgAAAAAGAAYAWQEAAJ0FAAAAAA==&#10;">
                      <v:fill on="f" focussize="0,0"/>
                      <v:stroke color="#000000" joinstyle="round"/>
                      <v:imagedata o:title=""/>
                      <o:lock v:ext="edit" aspectratio="f"/>
                    </v:shape>
                  </w:pict>
                </mc:Fallback>
              </mc:AlternateContent>
            </w:r>
            <w:r>
              <w:rPr>
                <w:rFonts w:hint="eastAsia" w:ascii="仿宋" w:hAnsi="仿宋" w:eastAsia="仿宋"/>
                <w:color w:val="auto"/>
                <w:spacing w:val="-20"/>
                <w:sz w:val="28"/>
                <w:szCs w:val="28"/>
              </w:rPr>
              <w:t>二年内有无被列入联盟省区医药购销领域商业贿赂不良记录,和五年内有无2次及以上被列入联盟省区省级区域内医药购销领域商业贿赂不良记录。</w:t>
            </w:r>
          </w:p>
          <w:p>
            <w:pPr>
              <w:spacing w:before="50" w:after="50" w:line="560" w:lineRule="exact"/>
              <w:rPr>
                <w:rFonts w:ascii="仿宋" w:hAnsi="仿宋" w:eastAsia="仿宋"/>
                <w:spacing w:val="-20"/>
                <w:sz w:val="28"/>
                <w:szCs w:val="28"/>
              </w:rPr>
            </w:pPr>
            <w:r>
              <w:rPr>
                <w:rFonts w:hint="eastAsia" w:ascii="仿宋" w:hAnsi="仿宋" w:eastAsia="仿宋"/>
                <w:color w:val="auto"/>
                <w:spacing w:val="-20"/>
                <w:sz w:val="28"/>
                <w:szCs w:val="28"/>
                <w:lang w:val="en-US" w:eastAsia="zh-CN"/>
              </w:rPr>
              <w:t>2020</w:t>
            </w:r>
            <w:r>
              <w:rPr>
                <w:rFonts w:ascii="仿宋" w:hAnsi="仿宋" w:eastAsia="仿宋"/>
                <w:color w:val="auto"/>
                <w:spacing w:val="-20"/>
                <w:sz w:val="28"/>
                <w:szCs w:val="28"/>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-4445</wp:posOffset>
                      </wp:positionV>
                      <wp:extent cx="5543550" cy="28575"/>
                      <wp:effectExtent l="0" t="4445" r="0" b="5080"/>
                      <wp:wrapNone/>
                      <wp:docPr id="28" name="直接箭头连接符 28"/>
                      <wp:cNvGraphicFramePr/>
                      <a:graphic xmlns:a="http://schemas.openxmlformats.org/drawingml/2006/main">
                        <a:graphicData uri="http://schemas.microsoft.com/office/word/2010/wordprocessingShape">
                          <wps:wsp>
                            <wps:cNvCnPr/>
                            <wps:spPr>
                              <a:xfrm flipV="1">
                                <a:off x="0" y="0"/>
                                <a:ext cx="5543550" cy="285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5.1pt;margin-top:-0.35pt;height:2.25pt;width:436.5pt;z-index:251664384;mso-width-relative:page;mso-height-relative:page;" filled="f" stroked="t" coordsize="21600,21600" o:gfxdata="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2gG/tUAAAAHAQAADwAAAAAAAAABACAAAAAi&#10;AAAAZHJzL2Rvd25yZXYueG1sUEsBAhQAFAAAAAgAh07iQKy/4LENAgAACgQAAA4AAAAAAAAAAQAg&#10;AAAAJAEAAGRycy9lMm9Eb2MueG1sUEsFBgAAAAAGAAYAWQEAAKMFAAAAAA==&#10;">
                      <v:fill on="f" focussize="0,0"/>
                      <v:stroke color="#000000" joinstyle="round"/>
                      <v:imagedata o:title=""/>
                      <o:lock v:ext="edit" aspectratio="f"/>
                    </v:shape>
                  </w:pict>
                </mc:Fallback>
              </mc:AlternateContent>
            </w:r>
            <w:r>
              <w:rPr>
                <w:rFonts w:hint="eastAsia" w:ascii="仿宋" w:hAnsi="仿宋" w:eastAsia="仿宋"/>
                <w:color w:val="auto"/>
                <w:spacing w:val="-20"/>
                <w:sz w:val="28"/>
                <w:szCs w:val="28"/>
              </w:rPr>
              <w:t>年以来，</w:t>
            </w:r>
            <w:r>
              <w:rPr>
                <w:rFonts w:hint="eastAsia" w:ascii="仿宋" w:hAnsi="仿宋" w:eastAsia="仿宋"/>
                <w:spacing w:val="-20"/>
                <w:sz w:val="28"/>
                <w:szCs w:val="28"/>
              </w:rPr>
              <w:t>在生产或经营活动中有无生产假冒伪劣医用耗材等严重违法违规记录。</w:t>
            </w:r>
          </w:p>
        </w:tc>
        <w:tc>
          <w:tcPr>
            <w:tcW w:w="1068" w:type="dxa"/>
            <w:noWrap/>
            <w:vAlign w:val="top"/>
          </w:tcPr>
          <w:p>
            <w:pPr>
              <w:spacing w:line="600" w:lineRule="exact"/>
              <w:rPr>
                <w:rFonts w:ascii="仿宋" w:hAnsi="仿宋" w:eastAsia="仿宋" w:cs="宋体"/>
                <w:spacing w:val="-20"/>
                <w:sz w:val="28"/>
                <w:szCs w:val="28"/>
                <w:lang w:val="zh-CN"/>
              </w:rPr>
            </w:pPr>
          </w:p>
        </w:tc>
        <w:tc>
          <w:tcPr>
            <w:tcW w:w="2225" w:type="dxa"/>
            <w:noWrap/>
            <w:vAlign w:val="top"/>
          </w:tcPr>
          <w:p>
            <w:pPr>
              <w:spacing w:line="600" w:lineRule="exact"/>
              <w:rPr>
                <w:rFonts w:ascii="仿宋" w:hAnsi="仿宋" w:eastAsia="仿宋" w:cs="宋体"/>
                <w:spacing w:val="-2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453" w:type="dxa"/>
            <w:noWrap/>
            <w:vAlign w:val="center"/>
          </w:tcPr>
          <w:p>
            <w:pPr>
              <w:spacing w:before="50" w:after="50" w:line="560" w:lineRule="exact"/>
              <w:rPr>
                <w:rFonts w:ascii="仿宋" w:hAnsi="仿宋" w:eastAsia="仿宋"/>
                <w:spacing w:val="-20"/>
                <w:sz w:val="28"/>
                <w:szCs w:val="28"/>
              </w:rPr>
            </w:pPr>
            <w:r>
              <w:rPr>
                <w:rFonts w:hint="eastAsia" w:ascii="仿宋" w:hAnsi="仿宋" w:eastAsia="仿宋"/>
                <w:spacing w:val="-20"/>
                <w:sz w:val="28"/>
                <w:szCs w:val="28"/>
              </w:rPr>
              <w:t>其他需要说明的情况。</w:t>
            </w:r>
          </w:p>
        </w:tc>
        <w:tc>
          <w:tcPr>
            <w:tcW w:w="1068" w:type="dxa"/>
            <w:noWrap/>
            <w:vAlign w:val="top"/>
          </w:tcPr>
          <w:p>
            <w:pPr>
              <w:spacing w:line="600" w:lineRule="exact"/>
              <w:rPr>
                <w:rFonts w:ascii="仿宋" w:hAnsi="仿宋" w:eastAsia="仿宋" w:cs="宋体"/>
                <w:spacing w:val="-20"/>
                <w:sz w:val="28"/>
                <w:szCs w:val="28"/>
                <w:lang w:val="zh-CN"/>
              </w:rPr>
            </w:pPr>
          </w:p>
        </w:tc>
        <w:tc>
          <w:tcPr>
            <w:tcW w:w="2225" w:type="dxa"/>
            <w:noWrap/>
            <w:vAlign w:val="top"/>
          </w:tcPr>
          <w:p>
            <w:pPr>
              <w:spacing w:line="600" w:lineRule="exact"/>
              <w:rPr>
                <w:rFonts w:ascii="仿宋" w:hAnsi="仿宋" w:eastAsia="仿宋" w:cs="宋体"/>
                <w:spacing w:val="-20"/>
                <w:sz w:val="28"/>
                <w:szCs w:val="28"/>
                <w:lang w:val="zh-CN"/>
              </w:rPr>
            </w:pPr>
          </w:p>
        </w:tc>
      </w:tr>
    </w:tbl>
    <w:p>
      <w:pPr>
        <w:spacing w:line="600" w:lineRule="exact"/>
        <w:rPr>
          <w:rFonts w:ascii="仿宋" w:hAnsi="仿宋" w:eastAsia="仿宋"/>
          <w:spacing w:val="-20"/>
          <w:sz w:val="30"/>
          <w:szCs w:val="30"/>
        </w:rPr>
      </w:pPr>
    </w:p>
    <w:p>
      <w:pPr>
        <w:tabs>
          <w:tab w:val="left" w:pos="1515"/>
          <w:tab w:val="center" w:pos="4153"/>
        </w:tabs>
        <w:spacing w:line="600" w:lineRule="exact"/>
        <w:ind w:right="640"/>
        <w:rPr>
          <w:rFonts w:ascii="仿宋" w:hAnsi="仿宋" w:eastAsia="仿宋"/>
          <w:bCs/>
          <w:spacing w:val="-20"/>
          <w:sz w:val="24"/>
        </w:rPr>
      </w:pPr>
    </w:p>
    <w:p>
      <w:pPr>
        <w:tabs>
          <w:tab w:val="left" w:pos="1515"/>
          <w:tab w:val="center" w:pos="4153"/>
        </w:tabs>
        <w:spacing w:line="600" w:lineRule="exact"/>
        <w:ind w:right="640"/>
        <w:rPr>
          <w:rFonts w:ascii="仿宋" w:hAnsi="仿宋" w:eastAsia="仿宋"/>
          <w:bCs/>
          <w:spacing w:val="-20"/>
          <w:sz w:val="24"/>
        </w:rPr>
      </w:pPr>
    </w:p>
    <w:p>
      <w:pPr>
        <w:widowControl/>
        <w:spacing w:line="560" w:lineRule="exact"/>
        <w:jc w:val="left"/>
        <w:rPr>
          <w:rFonts w:hint="eastAsia" w:ascii="黑体" w:hAnsi="黑体" w:eastAsia="黑体" w:cs="黑体"/>
          <w:bCs/>
          <w:spacing w:val="-20"/>
          <w:sz w:val="32"/>
          <w:szCs w:val="32"/>
        </w:rPr>
      </w:pPr>
    </w:p>
    <w:p>
      <w:pPr>
        <w:keepNext w:val="0"/>
        <w:keepLines w:val="0"/>
        <w:pageBreakBefore w:val="0"/>
        <w:widowControl/>
        <w:kinsoku/>
        <w:wordWrap/>
        <w:overflowPunct/>
        <w:topLinePunct w:val="0"/>
        <w:autoSpaceDE/>
        <w:autoSpaceDN/>
        <w:bidi w:val="0"/>
        <w:adjustRightInd/>
        <w:spacing w:line="480" w:lineRule="exact"/>
        <w:jc w:val="left"/>
        <w:textAlignment w:val="auto"/>
        <w:rPr>
          <w:rFonts w:ascii="方正小标宋简体" w:hAnsi="方正小标宋简体" w:eastAsia="方正小标宋简体" w:cs="方正小标宋简体"/>
          <w:sz w:val="44"/>
          <w:szCs w:val="44"/>
        </w:rPr>
      </w:pPr>
      <w:r>
        <w:rPr>
          <w:rFonts w:hint="eastAsia" w:ascii="黑体" w:hAnsi="黑体" w:eastAsia="黑体" w:cs="黑体"/>
          <w:bCs/>
          <w:spacing w:val="-20"/>
          <w:sz w:val="32"/>
          <w:szCs w:val="32"/>
        </w:rPr>
        <w:t>格式文件1－</w:t>
      </w:r>
      <w:r>
        <w:rPr>
          <w:rFonts w:hint="eastAsia" w:ascii="黑体" w:hAnsi="黑体" w:eastAsia="黑体" w:cs="黑体"/>
          <w:bCs/>
          <w:spacing w:val="-20"/>
          <w:sz w:val="32"/>
          <w:szCs w:val="32"/>
          <w:lang w:val="en-US" w:eastAsia="zh-CN"/>
        </w:rPr>
        <w:t>4</w:t>
      </w:r>
    </w:p>
    <w:p>
      <w:pPr>
        <w:keepNext w:val="0"/>
        <w:keepLines w:val="0"/>
        <w:pageBreakBefore w:val="0"/>
        <w:tabs>
          <w:tab w:val="left" w:pos="1515"/>
          <w:tab w:val="center" w:pos="4153"/>
        </w:tabs>
        <w:kinsoku/>
        <w:wordWrap/>
        <w:overflowPunct/>
        <w:topLinePunct w:val="0"/>
        <w:autoSpaceDE/>
        <w:autoSpaceDN/>
        <w:bidi w:val="0"/>
        <w:adjustRightInd/>
        <w:spacing w:line="480" w:lineRule="exact"/>
        <w:ind w:left="157" w:leftChars="75" w:right="640" w:firstLine="646" w:firstLineChars="147"/>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tabs>
          <w:tab w:val="left" w:pos="1515"/>
          <w:tab w:val="center" w:pos="4153"/>
        </w:tabs>
        <w:kinsoku/>
        <w:wordWrap/>
        <w:overflowPunct/>
        <w:topLinePunct w:val="0"/>
        <w:autoSpaceDE/>
        <w:autoSpaceDN/>
        <w:bidi w:val="0"/>
        <w:adjustRightInd/>
        <w:spacing w:line="480" w:lineRule="exact"/>
        <w:ind w:left="157" w:leftChars="75" w:right="640" w:firstLine="646" w:firstLineChars="147"/>
        <w:jc w:val="center"/>
        <w:textAlignment w:val="auto"/>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承 诺 函</w:t>
      </w:r>
    </w:p>
    <w:p>
      <w:pPr>
        <w:keepNext w:val="0"/>
        <w:keepLines w:val="0"/>
        <w:pageBreakBefore w:val="0"/>
        <w:kinsoku/>
        <w:wordWrap/>
        <w:overflowPunct/>
        <w:topLinePunct w:val="0"/>
        <w:autoSpaceDE/>
        <w:autoSpaceDN/>
        <w:bidi w:val="0"/>
        <w:adjustRightInd/>
        <w:spacing w:line="480" w:lineRule="exact"/>
        <w:textAlignment w:val="auto"/>
        <w:rPr>
          <w:rFonts w:ascii="楷体" w:hAnsi="楷体" w:eastAsia="楷体"/>
          <w:spacing w:val="-20"/>
          <w:sz w:val="30"/>
          <w:szCs w:val="30"/>
        </w:rPr>
      </w:pPr>
      <w:r>
        <w:rPr>
          <w:rFonts w:hint="eastAsia" w:ascii="楷体" w:hAnsi="楷体" w:eastAsia="楷体"/>
          <w:spacing w:val="-20"/>
          <w:sz w:val="30"/>
          <w:szCs w:val="30"/>
        </w:rPr>
        <w:t>致：陕西省公共资源交易中心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ascii="仿宋" w:hAnsi="仿宋" w:eastAsia="仿宋"/>
          <w:color w:val="auto"/>
          <w:spacing w:val="-20"/>
          <w:sz w:val="30"/>
          <w:szCs w:val="30"/>
        </w:rPr>
      </w:pPr>
      <w:r>
        <w:rPr>
          <w:rFonts w:hint="eastAsia" w:ascii="仿宋" w:hAnsi="仿宋" w:eastAsia="仿宋"/>
          <w:spacing w:val="-20"/>
          <w:sz w:val="30"/>
          <w:szCs w:val="30"/>
        </w:rPr>
        <w:t>作为生产（经营）企业（企业名称），本单位的产品如能获得中选资格，我企业</w:t>
      </w:r>
      <w:r>
        <w:rPr>
          <w:rFonts w:hint="eastAsia" w:ascii="仿宋" w:hAnsi="仿宋" w:eastAsia="仿宋"/>
          <w:color w:val="auto"/>
          <w:spacing w:val="-20"/>
          <w:sz w:val="30"/>
          <w:szCs w:val="30"/>
        </w:rPr>
        <w:t>承诺：</w:t>
      </w:r>
    </w:p>
    <w:p>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仿宋" w:hAnsi="仿宋" w:eastAsia="仿宋"/>
          <w:color w:val="auto"/>
          <w:spacing w:val="-20"/>
          <w:sz w:val="30"/>
          <w:szCs w:val="30"/>
          <w:lang w:eastAsia="zh-CN"/>
        </w:rPr>
      </w:pPr>
      <w:r>
        <w:rPr>
          <w:rFonts w:hint="eastAsia" w:ascii="仿宋" w:hAnsi="仿宋" w:eastAsia="仿宋"/>
          <w:color w:val="auto"/>
          <w:spacing w:val="-20"/>
          <w:sz w:val="30"/>
          <w:szCs w:val="30"/>
        </w:rPr>
        <w:t>1、同一产品如遇国家级带量采购形成新的低价，国家带量采购价格生效以后，本次采购尚未执行的采购量，按国家带量采购价格执行</w:t>
      </w:r>
      <w:r>
        <w:rPr>
          <w:rFonts w:hint="eastAsia" w:ascii="仿宋" w:hAnsi="仿宋" w:eastAsia="仿宋"/>
          <w:color w:val="auto"/>
          <w:spacing w:val="-2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ascii="仿宋" w:hAnsi="仿宋" w:eastAsia="仿宋"/>
          <w:color w:val="auto"/>
          <w:spacing w:val="-20"/>
          <w:sz w:val="30"/>
          <w:szCs w:val="30"/>
        </w:rPr>
      </w:pPr>
      <w:r>
        <w:rPr>
          <w:rFonts w:hint="eastAsia" w:ascii="仿宋" w:hAnsi="仿宋" w:eastAsia="仿宋"/>
          <w:color w:val="auto"/>
          <w:spacing w:val="-20"/>
          <w:sz w:val="30"/>
          <w:szCs w:val="30"/>
        </w:rPr>
        <w:t>2、在国内今后其他省级带量采购工作中，如果同一产品形成的中选价，低于本次联盟采购的中选价，及时主动向联盟省区采购集采中心提交书面申请，本次采购尚未执行的</w:t>
      </w:r>
      <w:r>
        <w:rPr>
          <w:rFonts w:hint="eastAsia" w:ascii="仿宋" w:hAnsi="仿宋" w:eastAsia="仿宋"/>
          <w:color w:val="auto"/>
          <w:spacing w:val="-20"/>
          <w:sz w:val="30"/>
          <w:szCs w:val="30"/>
          <w:lang w:eastAsia="zh-CN"/>
        </w:rPr>
        <w:t>约定合同</w:t>
      </w:r>
      <w:r>
        <w:rPr>
          <w:rFonts w:hint="eastAsia" w:ascii="仿宋" w:hAnsi="仿宋" w:eastAsia="仿宋"/>
          <w:color w:val="auto"/>
          <w:spacing w:val="-20"/>
          <w:sz w:val="30"/>
          <w:szCs w:val="30"/>
        </w:rPr>
        <w:t>量，按新的低价执行。</w:t>
      </w:r>
    </w:p>
    <w:p>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eastAsia" w:ascii="仿宋" w:hAnsi="仿宋" w:eastAsia="仿宋"/>
          <w:color w:val="auto"/>
          <w:spacing w:val="-20"/>
          <w:sz w:val="30"/>
          <w:szCs w:val="30"/>
        </w:rPr>
      </w:pPr>
      <w:r>
        <w:rPr>
          <w:rFonts w:hint="eastAsia" w:ascii="仿宋" w:hAnsi="仿宋" w:eastAsia="仿宋"/>
          <w:color w:val="auto"/>
          <w:spacing w:val="-20"/>
          <w:sz w:val="30"/>
          <w:szCs w:val="30"/>
        </w:rPr>
        <w:t>3、</w:t>
      </w:r>
      <w:r>
        <w:rPr>
          <w:rFonts w:hint="eastAsia" w:ascii="仿宋" w:hAnsi="仿宋" w:eastAsia="仿宋"/>
          <w:color w:val="auto"/>
          <w:spacing w:val="-20"/>
          <w:sz w:val="30"/>
          <w:szCs w:val="30"/>
          <w:lang w:eastAsia="zh-CN"/>
        </w:rPr>
        <w:t>自行配送或选定信誉良好的经营企业进行配送，建立应急储备，库存和停产报告等制度，</w:t>
      </w:r>
      <w:r>
        <w:rPr>
          <w:rFonts w:hint="eastAsia" w:ascii="仿宋" w:hAnsi="仿宋" w:eastAsia="仿宋"/>
          <w:color w:val="auto"/>
          <w:spacing w:val="-20"/>
          <w:sz w:val="30"/>
          <w:szCs w:val="30"/>
        </w:rPr>
        <w:t>在本次采购周期内能够连续生产中选产品，保证</w:t>
      </w:r>
      <w:r>
        <w:rPr>
          <w:rFonts w:hint="eastAsia" w:ascii="仿宋" w:hAnsi="仿宋" w:eastAsia="仿宋"/>
          <w:color w:val="auto"/>
          <w:spacing w:val="-20"/>
          <w:sz w:val="30"/>
          <w:szCs w:val="30"/>
          <w:lang w:eastAsia="zh-CN"/>
        </w:rPr>
        <w:t>联盟省区内</w:t>
      </w:r>
      <w:r>
        <w:rPr>
          <w:rFonts w:hint="eastAsia" w:ascii="仿宋" w:hAnsi="仿宋" w:eastAsia="仿宋"/>
          <w:color w:val="auto"/>
          <w:spacing w:val="-20"/>
          <w:sz w:val="30"/>
          <w:szCs w:val="30"/>
        </w:rPr>
        <w:t>货源充足。</w:t>
      </w:r>
    </w:p>
    <w:p>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hint="default" w:ascii="仿宋" w:hAnsi="仿宋" w:eastAsia="仿宋"/>
          <w:color w:val="auto"/>
          <w:spacing w:val="-20"/>
          <w:sz w:val="30"/>
          <w:szCs w:val="30"/>
          <w:lang w:val="en-US" w:eastAsia="zh-CN"/>
        </w:rPr>
      </w:pPr>
      <w:r>
        <w:rPr>
          <w:rFonts w:hint="eastAsia" w:ascii="仿宋" w:hAnsi="仿宋" w:eastAsia="仿宋"/>
          <w:color w:val="auto"/>
          <w:spacing w:val="-20"/>
          <w:sz w:val="30"/>
          <w:szCs w:val="30"/>
          <w:lang w:val="en-US" w:eastAsia="zh-CN"/>
        </w:rPr>
        <w:t>4、保持带量采购前后双腔起搏器产品伴随服务供给的延续性，维持服务内容及费用标准不变化，同意相关承诺可根据工作需要进行公开。</w:t>
      </w:r>
    </w:p>
    <w:p>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ascii="仿宋" w:hAnsi="仿宋" w:eastAsia="仿宋"/>
          <w:color w:val="auto"/>
          <w:spacing w:val="-20"/>
          <w:sz w:val="30"/>
          <w:szCs w:val="30"/>
        </w:rPr>
      </w:pPr>
      <w:r>
        <w:rPr>
          <w:rFonts w:hint="eastAsia" w:ascii="仿宋" w:hAnsi="仿宋" w:eastAsia="仿宋"/>
          <w:color w:val="auto"/>
          <w:spacing w:val="-20"/>
          <w:sz w:val="30"/>
          <w:szCs w:val="30"/>
          <w:lang w:val="en-US" w:eastAsia="zh-CN"/>
        </w:rPr>
        <w:t>5</w:t>
      </w:r>
      <w:r>
        <w:rPr>
          <w:rFonts w:hint="eastAsia" w:ascii="仿宋" w:hAnsi="仿宋" w:eastAsia="仿宋"/>
          <w:color w:val="auto"/>
          <w:spacing w:val="-20"/>
          <w:sz w:val="30"/>
          <w:szCs w:val="30"/>
        </w:rPr>
        <w:t>、</w:t>
      </w:r>
      <w:r>
        <w:rPr>
          <w:rFonts w:hint="eastAsia" w:ascii="仿宋" w:hAnsi="仿宋" w:eastAsia="仿宋"/>
          <w:color w:val="auto"/>
          <w:spacing w:val="-20"/>
          <w:sz w:val="30"/>
          <w:szCs w:val="30"/>
          <w:lang w:eastAsia="zh-CN"/>
        </w:rPr>
        <w:t>建立对中选品种生产、流通、使用的全链条质量监管机制，</w:t>
      </w:r>
      <w:r>
        <w:rPr>
          <w:rFonts w:hint="eastAsia" w:ascii="仿宋" w:hAnsi="仿宋" w:eastAsia="仿宋"/>
          <w:color w:val="auto"/>
          <w:spacing w:val="-20"/>
          <w:sz w:val="30"/>
          <w:szCs w:val="30"/>
        </w:rPr>
        <w:t>按照产品采购目录所注明的产品信息供应合格产品，有效期符合有关规定，并保证产品质量。如在采购周期内发生产品信息变更，及时向联盟省区采购集采中心提交书面申请及相关材料。</w:t>
      </w:r>
    </w:p>
    <w:p>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ascii="仿宋" w:hAnsi="仿宋" w:eastAsia="仿宋"/>
          <w:spacing w:val="-20"/>
          <w:sz w:val="30"/>
          <w:szCs w:val="30"/>
        </w:rPr>
      </w:pPr>
      <w:r>
        <w:rPr>
          <w:rFonts w:hint="eastAsia" w:ascii="仿宋" w:hAnsi="仿宋" w:eastAsia="仿宋"/>
          <w:spacing w:val="-20"/>
          <w:sz w:val="30"/>
          <w:szCs w:val="30"/>
          <w:lang w:val="en-US" w:eastAsia="zh-CN"/>
        </w:rPr>
        <w:t>6</w:t>
      </w:r>
      <w:r>
        <w:rPr>
          <w:rFonts w:hint="eastAsia" w:ascii="仿宋" w:hAnsi="仿宋" w:eastAsia="仿宋"/>
          <w:spacing w:val="-20"/>
          <w:sz w:val="30"/>
          <w:szCs w:val="30"/>
        </w:rPr>
        <w:t>、不论医疗机构路程远近及采购数量和金额多少均按购销合同保证及时供货并提供全面、完善的服务。</w:t>
      </w:r>
    </w:p>
    <w:p>
      <w:pPr>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rPr>
          <w:rFonts w:ascii="仿宋" w:hAnsi="仿宋" w:eastAsia="仿宋"/>
          <w:spacing w:val="-20"/>
          <w:sz w:val="30"/>
          <w:szCs w:val="30"/>
        </w:rPr>
      </w:pPr>
      <w:r>
        <w:rPr>
          <w:rFonts w:hint="eastAsia" w:ascii="仿宋" w:hAnsi="仿宋" w:eastAsia="仿宋"/>
          <w:spacing w:val="-20"/>
          <w:sz w:val="30"/>
          <w:szCs w:val="30"/>
          <w:lang w:val="en-US" w:eastAsia="zh-CN"/>
        </w:rPr>
        <w:t>7</w:t>
      </w:r>
      <w:r>
        <w:rPr>
          <w:rFonts w:hint="eastAsia" w:ascii="仿宋" w:hAnsi="仿宋" w:eastAsia="仿宋"/>
          <w:spacing w:val="-20"/>
          <w:sz w:val="30"/>
          <w:szCs w:val="30"/>
        </w:rPr>
        <w:t>、本承诺书有效期限：自签订购销合同开始至本次</w:t>
      </w:r>
      <w:r>
        <w:rPr>
          <w:rFonts w:hint="eastAsia" w:ascii="仿宋" w:hAnsi="仿宋" w:eastAsia="仿宋" w:cs="仿宋"/>
          <w:sz w:val="28"/>
          <w:szCs w:val="28"/>
          <w:lang w:eastAsia="zh-CN"/>
        </w:rPr>
        <w:t>心脏起搏器</w:t>
      </w:r>
      <w:r>
        <w:rPr>
          <w:rFonts w:hint="eastAsia" w:ascii="仿宋" w:hAnsi="仿宋" w:eastAsia="仿宋"/>
          <w:spacing w:val="-20"/>
          <w:sz w:val="30"/>
          <w:szCs w:val="30"/>
        </w:rPr>
        <w:t>带量采购周期届满。如果我方以及我方委托的配送企业出现违约行为，我方愿意承担相应的违约责任。</w:t>
      </w:r>
    </w:p>
    <w:p>
      <w:pPr>
        <w:pStyle w:val="5"/>
        <w:keepNext w:val="0"/>
        <w:keepLines w:val="0"/>
        <w:pageBreakBefore w:val="0"/>
        <w:kinsoku/>
        <w:wordWrap/>
        <w:overflowPunct/>
        <w:topLinePunct w:val="0"/>
        <w:autoSpaceDE/>
        <w:autoSpaceDN/>
        <w:bidi w:val="0"/>
        <w:adjustRightInd/>
        <w:snapToGrid w:val="0"/>
        <w:spacing w:after="0" w:line="480" w:lineRule="exact"/>
        <w:textAlignment w:val="auto"/>
        <w:rPr>
          <w:rFonts w:ascii="仿宋" w:hAnsi="仿宋" w:eastAsia="仿宋"/>
          <w:spacing w:val="-20"/>
          <w:sz w:val="30"/>
          <w:szCs w:val="30"/>
        </w:rPr>
      </w:pPr>
      <w:r>
        <w:rPr>
          <w:rFonts w:hint="eastAsia" w:ascii="仿宋" w:hAnsi="仿宋" w:eastAsia="仿宋"/>
          <w:spacing w:val="-20"/>
          <w:sz w:val="30"/>
          <w:szCs w:val="30"/>
        </w:rPr>
        <w:t>特此承诺。</w:t>
      </w:r>
    </w:p>
    <w:p>
      <w:pPr>
        <w:pStyle w:val="5"/>
        <w:keepNext w:val="0"/>
        <w:keepLines w:val="0"/>
        <w:pageBreakBefore w:val="0"/>
        <w:kinsoku/>
        <w:wordWrap/>
        <w:overflowPunct/>
        <w:topLinePunct w:val="0"/>
        <w:autoSpaceDE/>
        <w:autoSpaceDN/>
        <w:bidi w:val="0"/>
        <w:adjustRightInd/>
        <w:snapToGrid w:val="0"/>
        <w:spacing w:line="480" w:lineRule="exact"/>
        <w:ind w:firstLine="3640" w:firstLineChars="1400"/>
        <w:textAlignment w:val="auto"/>
        <w:rPr>
          <w:rFonts w:ascii="仿宋" w:hAnsi="仿宋" w:eastAsia="仿宋"/>
          <w:spacing w:val="-20"/>
          <w:sz w:val="30"/>
          <w:szCs w:val="30"/>
        </w:rPr>
      </w:pPr>
      <w:r>
        <w:rPr>
          <w:rFonts w:hint="eastAsia" w:ascii="仿宋" w:hAnsi="仿宋" w:eastAsia="仿宋"/>
          <w:spacing w:val="-20"/>
          <w:sz w:val="30"/>
          <w:szCs w:val="30"/>
        </w:rPr>
        <w:t>法定代表人签字：</w:t>
      </w:r>
      <w:r>
        <w:rPr>
          <w:rFonts w:ascii="仿宋" w:hAnsi="仿宋" w:eastAsia="仿宋"/>
          <w:spacing w:val="-20"/>
          <w:sz w:val="30"/>
          <w:szCs w:val="30"/>
        </w:rPr>
        <w:t>________________</w:t>
      </w:r>
    </w:p>
    <w:p>
      <w:pPr>
        <w:pStyle w:val="5"/>
        <w:keepNext w:val="0"/>
        <w:keepLines w:val="0"/>
        <w:pageBreakBefore w:val="0"/>
        <w:kinsoku/>
        <w:wordWrap/>
        <w:overflowPunct/>
        <w:topLinePunct w:val="0"/>
        <w:autoSpaceDE/>
        <w:autoSpaceDN/>
        <w:bidi w:val="0"/>
        <w:adjustRightInd/>
        <w:snapToGrid w:val="0"/>
        <w:spacing w:line="480" w:lineRule="exact"/>
        <w:ind w:firstLine="2080" w:firstLineChars="800"/>
        <w:textAlignment w:val="auto"/>
        <w:rPr>
          <w:rFonts w:hint="eastAsia" w:ascii="黑体" w:hAnsi="黑体" w:eastAsia="黑体" w:cs="黑体"/>
          <w:bCs/>
          <w:spacing w:val="-20"/>
          <w:sz w:val="32"/>
          <w:szCs w:val="32"/>
        </w:rPr>
      </w:pPr>
      <w:r>
        <w:rPr>
          <w:rFonts w:hint="eastAsia" w:ascii="仿宋" w:hAnsi="仿宋" w:eastAsia="仿宋"/>
          <w:spacing w:val="-20"/>
          <w:sz w:val="30"/>
          <w:szCs w:val="30"/>
        </w:rPr>
        <w:t>生产（经营）企业名称和盖章</w:t>
      </w:r>
      <w:r>
        <w:rPr>
          <w:rFonts w:ascii="仿宋" w:hAnsi="仿宋" w:eastAsia="仿宋"/>
          <w:spacing w:val="-20"/>
          <w:sz w:val="30"/>
          <w:szCs w:val="30"/>
        </w:rPr>
        <w:t>:__________________</w:t>
      </w:r>
    </w:p>
    <w:p>
      <w:pPr>
        <w:keepNext w:val="0"/>
        <w:keepLines w:val="0"/>
        <w:pageBreakBefore w:val="0"/>
        <w:kinsoku/>
        <w:wordWrap/>
        <w:overflowPunct/>
        <w:topLinePunct w:val="0"/>
        <w:autoSpaceDE/>
        <w:autoSpaceDN/>
        <w:bidi w:val="0"/>
        <w:adjustRightInd/>
        <w:spacing w:line="440" w:lineRule="atLeast"/>
        <w:textAlignment w:val="auto"/>
      </w:pPr>
    </w:p>
    <w:p>
      <w:pPr>
        <w:keepNext w:val="0"/>
        <w:keepLines w:val="0"/>
        <w:pageBreakBefore w:val="0"/>
        <w:kinsoku/>
        <w:wordWrap/>
        <w:overflowPunct/>
        <w:topLinePunct w:val="0"/>
        <w:autoSpaceDE/>
        <w:autoSpaceDN/>
        <w:bidi w:val="0"/>
        <w:adjustRightInd/>
        <w:spacing w:line="440" w:lineRule="atLeast"/>
        <w:textAlignment w:val="auto"/>
      </w:pPr>
    </w:p>
    <w:p>
      <w:pPr>
        <w:keepNext w:val="0"/>
        <w:keepLines w:val="0"/>
        <w:pageBreakBefore w:val="0"/>
        <w:kinsoku/>
        <w:wordWrap/>
        <w:overflowPunct/>
        <w:topLinePunct w:val="0"/>
        <w:autoSpaceDE/>
        <w:autoSpaceDN/>
        <w:bidi w:val="0"/>
        <w:adjustRightInd/>
        <w:spacing w:line="440" w:lineRule="atLeast"/>
        <w:textAlignment w:val="auto"/>
      </w:pPr>
    </w:p>
    <w:p>
      <w:pPr>
        <w:spacing w:line="600" w:lineRule="exact"/>
        <w:rPr>
          <w:rFonts w:ascii="黑体" w:hAnsi="黑体" w:eastAsia="黑体" w:cs="黑体"/>
          <w:bCs/>
          <w:spacing w:val="-20"/>
          <w:sz w:val="32"/>
          <w:szCs w:val="32"/>
        </w:rPr>
      </w:pPr>
      <w:r>
        <w:rPr>
          <w:rFonts w:hint="eastAsia" w:ascii="黑体" w:hAnsi="黑体" w:eastAsia="黑体" w:cs="黑体"/>
          <w:bCs/>
          <w:spacing w:val="-20"/>
          <w:sz w:val="32"/>
          <w:szCs w:val="32"/>
        </w:rPr>
        <w:t>格式文件1－</w:t>
      </w:r>
      <w:r>
        <w:rPr>
          <w:rFonts w:hint="eastAsia" w:ascii="黑体" w:hAnsi="黑体" w:eastAsia="黑体" w:cs="黑体"/>
          <w:bCs/>
          <w:spacing w:val="-20"/>
          <w:sz w:val="32"/>
          <w:szCs w:val="32"/>
          <w:lang w:val="en-US" w:eastAsia="zh-CN"/>
        </w:rPr>
        <w:t>5</w:t>
      </w:r>
      <w:r>
        <w:rPr>
          <w:rFonts w:hint="eastAsia" w:ascii="黑体" w:hAnsi="黑体" w:eastAsia="黑体" w:cs="黑体"/>
          <w:bCs/>
          <w:spacing w:val="-20"/>
          <w:sz w:val="32"/>
          <w:szCs w:val="32"/>
        </w:rPr>
        <w:t xml:space="preserve"> </w:t>
      </w:r>
    </w:p>
    <w:p>
      <w:pPr>
        <w:spacing w:line="600" w:lineRule="exact"/>
        <w:jc w:val="both"/>
        <w:rPr>
          <w:rFonts w:hint="eastAsia" w:ascii="方正小标宋简体" w:hAnsi="方正小标宋简体" w:eastAsia="方正小标宋简体" w:cs="方正小标宋简体"/>
          <w:b/>
          <w:spacing w:val="20"/>
          <w:sz w:val="44"/>
          <w:lang w:eastAsia="zh-CN"/>
        </w:rPr>
      </w:pPr>
    </w:p>
    <w:p>
      <w:pPr>
        <w:spacing w:line="600" w:lineRule="exact"/>
        <w:jc w:val="center"/>
        <w:rPr>
          <w:rFonts w:hint="eastAsia" w:ascii="方正小标宋简体" w:hAnsi="方正小标宋简体" w:eastAsia="方正小标宋简体" w:cs="方正小标宋简体"/>
          <w:b w:val="0"/>
          <w:bCs/>
          <w:spacing w:val="20"/>
          <w:sz w:val="44"/>
          <w:lang w:eastAsia="zh-CN"/>
        </w:rPr>
      </w:pPr>
      <w:r>
        <w:rPr>
          <w:rFonts w:hint="eastAsia" w:ascii="方正小标宋简体" w:hAnsi="方正小标宋简体" w:eastAsia="方正小标宋简体" w:cs="方正小标宋简体"/>
          <w:b w:val="0"/>
          <w:bCs/>
          <w:spacing w:val="20"/>
          <w:sz w:val="44"/>
          <w:lang w:eastAsia="zh-CN"/>
        </w:rPr>
        <w:t>产品退市申请函</w:t>
      </w:r>
    </w:p>
    <w:p>
      <w:pPr>
        <w:spacing w:before="156" w:beforeLines="50" w:line="600" w:lineRule="exact"/>
        <w:rPr>
          <w:rFonts w:hint="eastAsia" w:ascii="仿宋" w:hAnsi="仿宋" w:eastAsia="仿宋"/>
          <w:spacing w:val="-20"/>
          <w:sz w:val="32"/>
          <w:szCs w:val="32"/>
          <w:lang w:eastAsia="zh-CN"/>
        </w:rPr>
      </w:pPr>
    </w:p>
    <w:p>
      <w:pPr>
        <w:spacing w:before="156" w:beforeLines="50" w:line="600" w:lineRule="exact"/>
        <w:rPr>
          <w:rFonts w:hint="eastAsia" w:ascii="仿宋" w:hAnsi="仿宋" w:eastAsia="仿宋"/>
          <w:spacing w:val="-20"/>
          <w:sz w:val="32"/>
          <w:szCs w:val="32"/>
          <w:lang w:eastAsia="zh-CN"/>
        </w:rPr>
      </w:pPr>
      <w:r>
        <w:rPr>
          <w:rFonts w:hint="eastAsia" w:ascii="仿宋" w:hAnsi="仿宋" w:eastAsia="仿宋"/>
          <w:spacing w:val="-20"/>
          <w:sz w:val="32"/>
          <w:szCs w:val="32"/>
          <w:lang w:eastAsia="zh-CN"/>
        </w:rPr>
        <w:t>致：陕西省公共资源交易中心</w:t>
      </w:r>
    </w:p>
    <w:p>
      <w:pPr>
        <w:spacing w:before="156" w:beforeLines="50" w:line="600" w:lineRule="exact"/>
        <w:ind w:firstLine="560" w:firstLineChars="200"/>
        <w:rPr>
          <w:rFonts w:hint="default" w:ascii="仿宋" w:hAnsi="仿宋" w:eastAsia="仿宋"/>
          <w:spacing w:val="-20"/>
          <w:sz w:val="32"/>
          <w:szCs w:val="32"/>
          <w:lang w:val="en-US" w:eastAsia="zh-CN"/>
        </w:rPr>
      </w:pPr>
      <w:r>
        <w:rPr>
          <w:rFonts w:hint="eastAsia" w:ascii="仿宋" w:hAnsi="仿宋" w:eastAsia="仿宋"/>
          <w:spacing w:val="-20"/>
          <w:sz w:val="32"/>
          <w:szCs w:val="32"/>
          <w:lang w:val="en-US" w:eastAsia="zh-CN"/>
        </w:rPr>
        <w:t>因我司部分双腔起搏器产品面临退市，将不在省际联盟陕西、甘肃、宁夏、新疆、新疆生产建设兵团，湖南、广西、海南8个省（区、兵团）销售，特申请涉及到的产品撤销挂网并退出参与本次联盟带量采购。</w:t>
      </w:r>
    </w:p>
    <w:tbl>
      <w:tblPr>
        <w:tblStyle w:val="10"/>
        <w:tblpPr w:leftFromText="180" w:rightFromText="180" w:vertAnchor="text" w:horzAnchor="page" w:tblpX="1331" w:tblpY="5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750"/>
        <w:gridCol w:w="1216"/>
        <w:gridCol w:w="1217"/>
        <w:gridCol w:w="1217"/>
        <w:gridCol w:w="1217"/>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组件编号</w:t>
            </w:r>
          </w:p>
        </w:tc>
        <w:tc>
          <w:tcPr>
            <w:tcW w:w="1750"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注册证编号</w:t>
            </w:r>
          </w:p>
        </w:tc>
        <w:tc>
          <w:tcPr>
            <w:tcW w:w="1216"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产品名称</w:t>
            </w:r>
          </w:p>
        </w:tc>
        <w:tc>
          <w:tcPr>
            <w:tcW w:w="1217"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规格</w:t>
            </w:r>
          </w:p>
        </w:tc>
        <w:tc>
          <w:tcPr>
            <w:tcW w:w="1217"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型号</w:t>
            </w:r>
          </w:p>
        </w:tc>
        <w:tc>
          <w:tcPr>
            <w:tcW w:w="1217"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申报企业名称</w:t>
            </w:r>
          </w:p>
        </w:tc>
        <w:tc>
          <w:tcPr>
            <w:tcW w:w="1821"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申请事项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0"/>
            <w:vAlign w:val="center"/>
          </w:tcPr>
          <w:p>
            <w:pPr>
              <w:jc w:val="center"/>
              <w:rPr>
                <w:rFonts w:hint="eastAsia"/>
                <w:vertAlign w:val="baseline"/>
                <w:lang w:eastAsia="zh-CN"/>
              </w:rPr>
            </w:pPr>
          </w:p>
        </w:tc>
        <w:tc>
          <w:tcPr>
            <w:tcW w:w="1750" w:type="dxa"/>
            <w:noWrap w:val="0"/>
            <w:vAlign w:val="center"/>
          </w:tcPr>
          <w:p>
            <w:pPr>
              <w:jc w:val="center"/>
              <w:rPr>
                <w:rFonts w:hint="eastAsia"/>
                <w:vertAlign w:val="baseline"/>
                <w:lang w:eastAsia="zh-CN"/>
              </w:rPr>
            </w:pPr>
          </w:p>
        </w:tc>
        <w:tc>
          <w:tcPr>
            <w:tcW w:w="1216"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821" w:type="dxa"/>
            <w:noWrap w:val="0"/>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撤销联盟</w:t>
            </w:r>
            <w:r>
              <w:rPr>
                <w:rFonts w:hint="eastAsia" w:ascii="仿宋_GB2312" w:hAnsi="仿宋_GB2312" w:eastAsia="仿宋_GB2312" w:cs="仿宋_GB2312"/>
                <w:vertAlign w:val="baseline"/>
                <w:lang w:val="en-US" w:eastAsia="zh-CN"/>
              </w:rPr>
              <w:t>省（区、兵团）</w:t>
            </w:r>
            <w:r>
              <w:rPr>
                <w:rFonts w:hint="eastAsia" w:ascii="仿宋_GB2312" w:hAnsi="仿宋_GB2312" w:eastAsia="仿宋_GB2312" w:cs="仿宋_GB2312"/>
                <w:vertAlign w:val="baseline"/>
                <w:lang w:eastAsia="zh-CN"/>
              </w:rPr>
              <w:t>挂网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0"/>
            <w:vAlign w:val="center"/>
          </w:tcPr>
          <w:p>
            <w:pPr>
              <w:jc w:val="center"/>
              <w:rPr>
                <w:rFonts w:hint="eastAsia"/>
                <w:vertAlign w:val="baseline"/>
                <w:lang w:eastAsia="zh-CN"/>
              </w:rPr>
            </w:pPr>
          </w:p>
        </w:tc>
        <w:tc>
          <w:tcPr>
            <w:tcW w:w="1750" w:type="dxa"/>
            <w:noWrap w:val="0"/>
            <w:vAlign w:val="center"/>
          </w:tcPr>
          <w:p>
            <w:pPr>
              <w:jc w:val="center"/>
              <w:rPr>
                <w:rFonts w:hint="eastAsia"/>
                <w:vertAlign w:val="baseline"/>
                <w:lang w:eastAsia="zh-CN"/>
              </w:rPr>
            </w:pPr>
          </w:p>
        </w:tc>
        <w:tc>
          <w:tcPr>
            <w:tcW w:w="1216"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821" w:type="dxa"/>
            <w:noWrap w:val="0"/>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撤销联盟</w:t>
            </w:r>
            <w:r>
              <w:rPr>
                <w:rFonts w:hint="eastAsia" w:ascii="仿宋_GB2312" w:hAnsi="仿宋_GB2312" w:eastAsia="仿宋_GB2312" w:cs="仿宋_GB2312"/>
                <w:vertAlign w:val="baseline"/>
                <w:lang w:val="en-US" w:eastAsia="zh-CN"/>
              </w:rPr>
              <w:t>省（区、兵团）</w:t>
            </w:r>
            <w:r>
              <w:rPr>
                <w:rFonts w:hint="eastAsia" w:ascii="仿宋_GB2312" w:hAnsi="仿宋_GB2312" w:eastAsia="仿宋_GB2312" w:cs="仿宋_GB2312"/>
                <w:vertAlign w:val="baseline"/>
                <w:lang w:eastAsia="zh-CN"/>
              </w:rPr>
              <w:t>挂网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0"/>
            <w:vAlign w:val="center"/>
          </w:tcPr>
          <w:p>
            <w:pPr>
              <w:jc w:val="center"/>
              <w:rPr>
                <w:rFonts w:hint="eastAsia"/>
                <w:vertAlign w:val="baseline"/>
                <w:lang w:eastAsia="zh-CN"/>
              </w:rPr>
            </w:pPr>
          </w:p>
        </w:tc>
        <w:tc>
          <w:tcPr>
            <w:tcW w:w="1750" w:type="dxa"/>
            <w:noWrap w:val="0"/>
            <w:vAlign w:val="center"/>
          </w:tcPr>
          <w:p>
            <w:pPr>
              <w:jc w:val="center"/>
              <w:rPr>
                <w:rFonts w:hint="eastAsia"/>
                <w:vertAlign w:val="baseline"/>
                <w:lang w:eastAsia="zh-CN"/>
              </w:rPr>
            </w:pPr>
          </w:p>
        </w:tc>
        <w:tc>
          <w:tcPr>
            <w:tcW w:w="1216"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821" w:type="dxa"/>
            <w:noWrap w:val="0"/>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撤销联盟</w:t>
            </w:r>
            <w:r>
              <w:rPr>
                <w:rFonts w:hint="eastAsia" w:ascii="仿宋_GB2312" w:hAnsi="仿宋_GB2312" w:eastAsia="仿宋_GB2312" w:cs="仿宋_GB2312"/>
                <w:vertAlign w:val="baseline"/>
                <w:lang w:val="en-US" w:eastAsia="zh-CN"/>
              </w:rPr>
              <w:t>省（区、兵团）</w:t>
            </w:r>
            <w:r>
              <w:rPr>
                <w:rFonts w:hint="eastAsia" w:ascii="仿宋_GB2312" w:hAnsi="仿宋_GB2312" w:eastAsia="仿宋_GB2312" w:cs="仿宋_GB2312"/>
                <w:vertAlign w:val="baseline"/>
                <w:lang w:eastAsia="zh-CN"/>
              </w:rPr>
              <w:t>挂网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0"/>
            <w:vAlign w:val="center"/>
          </w:tcPr>
          <w:p>
            <w:pPr>
              <w:jc w:val="center"/>
              <w:rPr>
                <w:rFonts w:hint="eastAsia"/>
                <w:vertAlign w:val="baseline"/>
                <w:lang w:eastAsia="zh-CN"/>
              </w:rPr>
            </w:pPr>
          </w:p>
        </w:tc>
        <w:tc>
          <w:tcPr>
            <w:tcW w:w="1750" w:type="dxa"/>
            <w:noWrap w:val="0"/>
            <w:vAlign w:val="center"/>
          </w:tcPr>
          <w:p>
            <w:pPr>
              <w:jc w:val="center"/>
              <w:rPr>
                <w:rFonts w:hint="eastAsia"/>
                <w:vertAlign w:val="baseline"/>
                <w:lang w:eastAsia="zh-CN"/>
              </w:rPr>
            </w:pPr>
          </w:p>
        </w:tc>
        <w:tc>
          <w:tcPr>
            <w:tcW w:w="1216"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217" w:type="dxa"/>
            <w:noWrap w:val="0"/>
            <w:vAlign w:val="center"/>
          </w:tcPr>
          <w:p>
            <w:pPr>
              <w:jc w:val="center"/>
              <w:rPr>
                <w:rFonts w:hint="eastAsia"/>
                <w:vertAlign w:val="baseline"/>
                <w:lang w:eastAsia="zh-CN"/>
              </w:rPr>
            </w:pPr>
          </w:p>
        </w:tc>
        <w:tc>
          <w:tcPr>
            <w:tcW w:w="1821" w:type="dxa"/>
            <w:noWrap w:val="0"/>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撤销联盟</w:t>
            </w:r>
            <w:r>
              <w:rPr>
                <w:rFonts w:hint="eastAsia" w:ascii="仿宋_GB2312" w:hAnsi="仿宋_GB2312" w:eastAsia="仿宋_GB2312" w:cs="仿宋_GB2312"/>
                <w:vertAlign w:val="baseline"/>
                <w:lang w:val="en-US" w:eastAsia="zh-CN"/>
              </w:rPr>
              <w:t>省（区、兵团）</w:t>
            </w:r>
            <w:r>
              <w:rPr>
                <w:rFonts w:hint="eastAsia" w:ascii="仿宋_GB2312" w:hAnsi="仿宋_GB2312" w:eastAsia="仿宋_GB2312" w:cs="仿宋_GB2312"/>
                <w:vertAlign w:val="baseline"/>
                <w:lang w:eastAsia="zh-CN"/>
              </w:rPr>
              <w:t>挂网</w:t>
            </w:r>
          </w:p>
        </w:tc>
      </w:tr>
    </w:tbl>
    <w:p>
      <w:pPr>
        <w:spacing w:before="156" w:beforeLines="50" w:line="600" w:lineRule="exact"/>
        <w:ind w:firstLine="400" w:firstLineChars="200"/>
        <w:jc w:val="both"/>
        <w:rPr>
          <w:rFonts w:hint="default" w:ascii="仿宋" w:hAnsi="仿宋" w:eastAsia="仿宋"/>
          <w:spacing w:val="-20"/>
          <w:sz w:val="24"/>
          <w:szCs w:val="24"/>
          <w:lang w:val="en-US" w:eastAsia="zh-CN"/>
        </w:rPr>
      </w:pPr>
      <w:r>
        <w:rPr>
          <w:rFonts w:hint="eastAsia" w:ascii="仿宋" w:hAnsi="仿宋" w:eastAsia="仿宋"/>
          <w:spacing w:val="-20"/>
          <w:sz w:val="24"/>
          <w:szCs w:val="24"/>
          <w:lang w:val="en-US" w:eastAsia="zh-CN"/>
        </w:rPr>
        <w:t>备注：组件编号为陕西平台挂网编号，如未在陕西挂网，填写“无”。</w:t>
      </w:r>
    </w:p>
    <w:p>
      <w:pPr>
        <w:spacing w:before="156" w:beforeLines="50" w:line="600" w:lineRule="exact"/>
        <w:ind w:left="6318" w:leftChars="266" w:hanging="5760" w:hangingChars="2400"/>
        <w:rPr>
          <w:rFonts w:hint="eastAsia" w:ascii="仿宋" w:hAnsi="仿宋" w:eastAsia="仿宋"/>
          <w:spacing w:val="-20"/>
          <w:sz w:val="28"/>
          <w:szCs w:val="28"/>
          <w:lang w:val="en-US" w:eastAsia="zh-CN"/>
        </w:rPr>
      </w:pPr>
      <w:r>
        <w:rPr>
          <w:rFonts w:hint="eastAsia" w:ascii="仿宋" w:hAnsi="仿宋" w:eastAsia="仿宋"/>
          <w:spacing w:val="-20"/>
          <w:sz w:val="28"/>
          <w:szCs w:val="28"/>
          <w:lang w:val="en-US" w:eastAsia="zh-CN"/>
        </w:rPr>
        <w:t xml:space="preserve">  </w:t>
      </w:r>
    </w:p>
    <w:p>
      <w:pPr>
        <w:spacing w:before="156" w:beforeLines="50" w:line="600" w:lineRule="exact"/>
        <w:ind w:left="7026" w:leftChars="2660" w:hanging="1440" w:hangingChars="600"/>
        <w:rPr>
          <w:rFonts w:hint="eastAsia" w:ascii="仿宋" w:hAnsi="仿宋" w:eastAsia="仿宋"/>
          <w:spacing w:val="-20"/>
          <w:sz w:val="28"/>
          <w:szCs w:val="28"/>
          <w:lang w:val="en-US" w:eastAsia="zh-CN"/>
        </w:rPr>
      </w:pPr>
      <w:r>
        <w:rPr>
          <w:rFonts w:hint="eastAsia" w:ascii="仿宋" w:hAnsi="仿宋" w:eastAsia="仿宋"/>
          <w:spacing w:val="-20"/>
          <w:sz w:val="28"/>
          <w:szCs w:val="28"/>
          <w:lang w:val="en-US" w:eastAsia="zh-CN"/>
        </w:rPr>
        <w:t>XX企业：</w:t>
      </w:r>
    </w:p>
    <w:p>
      <w:pPr>
        <w:spacing w:before="156" w:beforeLines="50" w:line="600" w:lineRule="exact"/>
        <w:ind w:firstLine="5280" w:firstLineChars="2200"/>
        <w:rPr>
          <w:rFonts w:hint="eastAsia" w:ascii="仿宋" w:hAnsi="仿宋" w:eastAsia="仿宋"/>
          <w:spacing w:val="-20"/>
          <w:sz w:val="28"/>
          <w:szCs w:val="28"/>
          <w:lang w:val="en-US" w:eastAsia="zh-CN"/>
        </w:rPr>
      </w:pPr>
      <w:r>
        <w:rPr>
          <w:rFonts w:hint="eastAsia" w:ascii="仿宋" w:hAnsi="仿宋" w:eastAsia="仿宋"/>
          <w:spacing w:val="-20"/>
          <w:sz w:val="28"/>
          <w:szCs w:val="28"/>
          <w:lang w:val="en-US" w:eastAsia="zh-CN"/>
        </w:rPr>
        <w:t>（加盖鲜章）</w:t>
      </w:r>
    </w:p>
    <w:p>
      <w:pPr>
        <w:spacing w:before="156" w:beforeLines="50" w:line="600" w:lineRule="exact"/>
        <w:ind w:firstLine="5520" w:firstLineChars="2300"/>
        <w:rPr>
          <w:rFonts w:hint="eastAsia" w:ascii="仿宋" w:hAnsi="仿宋" w:eastAsia="仿宋"/>
          <w:spacing w:val="-20"/>
          <w:sz w:val="28"/>
          <w:szCs w:val="28"/>
          <w:lang w:val="en-US" w:eastAsia="zh-CN"/>
        </w:rPr>
      </w:pPr>
      <w:r>
        <w:rPr>
          <w:rFonts w:hint="eastAsia" w:ascii="仿宋" w:hAnsi="仿宋" w:eastAsia="仿宋"/>
          <w:spacing w:val="-20"/>
          <w:sz w:val="28"/>
          <w:szCs w:val="28"/>
          <w:lang w:val="en-US" w:eastAsia="zh-CN"/>
        </w:rPr>
        <w:t>年    月    日</w:t>
      </w:r>
    </w:p>
    <w:p>
      <w:pPr>
        <w:spacing w:before="156" w:beforeLines="50" w:line="600" w:lineRule="exact"/>
        <w:ind w:firstLine="5520" w:firstLineChars="2300"/>
        <w:rPr>
          <w:rFonts w:hint="eastAsia" w:ascii="仿宋" w:hAnsi="仿宋" w:eastAsia="仿宋"/>
          <w:spacing w:val="-20"/>
          <w:sz w:val="28"/>
          <w:szCs w:val="28"/>
          <w:lang w:val="en-US" w:eastAsia="zh-CN"/>
        </w:rPr>
      </w:pPr>
    </w:p>
    <w:p>
      <w:pPr>
        <w:spacing w:before="156" w:beforeLines="50" w:line="600" w:lineRule="exact"/>
        <w:ind w:firstLine="5520" w:firstLineChars="2300"/>
        <w:rPr>
          <w:rFonts w:hint="eastAsia" w:ascii="仿宋" w:hAnsi="仿宋" w:eastAsia="仿宋"/>
          <w:spacing w:val="-20"/>
          <w:sz w:val="28"/>
          <w:szCs w:val="28"/>
          <w:lang w:val="en-US" w:eastAsia="zh-CN"/>
        </w:rPr>
      </w:pPr>
    </w:p>
    <w:p>
      <w:pPr>
        <w:spacing w:line="600" w:lineRule="exact"/>
        <w:rPr>
          <w:rFonts w:ascii="黑体" w:hAnsi="黑体" w:eastAsia="黑体" w:cs="黑体"/>
          <w:bCs/>
          <w:spacing w:val="-20"/>
          <w:sz w:val="32"/>
          <w:szCs w:val="32"/>
        </w:rPr>
      </w:pPr>
      <w:r>
        <w:rPr>
          <w:rFonts w:hint="eastAsia" w:ascii="黑体" w:hAnsi="黑体" w:eastAsia="黑体" w:cs="黑体"/>
          <w:bCs/>
          <w:spacing w:val="-20"/>
          <w:sz w:val="32"/>
          <w:szCs w:val="32"/>
        </w:rPr>
        <w:t>格式文件1－</w:t>
      </w:r>
      <w:r>
        <w:rPr>
          <w:rFonts w:hint="eastAsia" w:ascii="黑体" w:hAnsi="黑体" w:eastAsia="黑体" w:cs="黑体"/>
          <w:bCs/>
          <w:spacing w:val="-20"/>
          <w:sz w:val="32"/>
          <w:szCs w:val="32"/>
          <w:lang w:val="en-US" w:eastAsia="zh-CN"/>
        </w:rPr>
        <w:t>6</w:t>
      </w:r>
    </w:p>
    <w:p>
      <w:pPr>
        <w:spacing w:line="600" w:lineRule="exact"/>
        <w:jc w:val="both"/>
        <w:rPr>
          <w:rFonts w:hint="eastAsia" w:ascii="方正小标宋简体" w:hAnsi="方正小标宋简体" w:eastAsia="方正小标宋简体" w:cs="方正小标宋简体"/>
          <w:b/>
          <w:spacing w:val="20"/>
          <w:sz w:val="44"/>
          <w:lang w:eastAsia="zh-CN"/>
        </w:rPr>
      </w:pPr>
    </w:p>
    <w:p>
      <w:pPr>
        <w:spacing w:before="156" w:beforeLines="50" w:line="600" w:lineRule="exact"/>
        <w:jc w:val="center"/>
        <w:rPr>
          <w:rFonts w:hint="eastAsia" w:ascii="方正小标宋简体" w:hAnsi="方正小标宋简体" w:eastAsia="方正小标宋简体" w:cs="方正小标宋简体"/>
          <w:b w:val="0"/>
          <w:bCs/>
          <w:spacing w:val="20"/>
          <w:sz w:val="44"/>
          <w:lang w:eastAsia="zh-CN"/>
        </w:rPr>
      </w:pPr>
      <w:r>
        <w:rPr>
          <w:rFonts w:hint="eastAsia" w:ascii="方正小标宋简体" w:hAnsi="方正小标宋简体" w:eastAsia="方正小标宋简体" w:cs="方正小标宋简体"/>
          <w:b w:val="0"/>
          <w:bCs/>
          <w:spacing w:val="20"/>
          <w:sz w:val="44"/>
          <w:lang w:eastAsia="zh-CN"/>
        </w:rPr>
        <w:t>无法全量供应申请函</w:t>
      </w:r>
    </w:p>
    <w:p>
      <w:pPr>
        <w:spacing w:before="156" w:beforeLines="50" w:line="600" w:lineRule="exact"/>
        <w:ind w:firstLine="560" w:firstLineChars="200"/>
        <w:rPr>
          <w:rFonts w:hint="eastAsia" w:ascii="仿宋" w:hAnsi="仿宋" w:eastAsia="仿宋"/>
          <w:spacing w:val="-20"/>
          <w:sz w:val="32"/>
          <w:szCs w:val="32"/>
          <w:lang w:val="en-US" w:eastAsia="zh-CN"/>
        </w:rPr>
      </w:pPr>
      <w:r>
        <w:rPr>
          <w:rFonts w:hint="eastAsia" w:ascii="仿宋" w:hAnsi="仿宋" w:eastAsia="仿宋"/>
          <w:spacing w:val="-20"/>
          <w:sz w:val="32"/>
          <w:szCs w:val="32"/>
          <w:lang w:val="en-US" w:eastAsia="zh-CN"/>
        </w:rPr>
        <w:t>致：陕西省公共资源交易中心</w:t>
      </w:r>
    </w:p>
    <w:p>
      <w:pPr>
        <w:spacing w:before="156" w:beforeLines="50" w:line="600" w:lineRule="exact"/>
        <w:ind w:firstLine="560" w:firstLineChars="200"/>
        <w:rPr>
          <w:rFonts w:hint="default" w:ascii="仿宋" w:hAnsi="仿宋" w:eastAsia="仿宋"/>
          <w:spacing w:val="-20"/>
          <w:sz w:val="32"/>
          <w:szCs w:val="32"/>
          <w:lang w:val="en-US" w:eastAsia="zh-CN"/>
        </w:rPr>
      </w:pPr>
      <w:r>
        <w:rPr>
          <w:rFonts w:hint="eastAsia" w:ascii="仿宋" w:hAnsi="仿宋" w:eastAsia="仿宋"/>
          <w:spacing w:val="-20"/>
          <w:sz w:val="32"/>
          <w:szCs w:val="32"/>
          <w:lang w:val="en-US" w:eastAsia="zh-CN"/>
        </w:rPr>
        <w:t>因我司部分双腔起搏器产品无法在2年采购期内全量供应，为不影响本次省际联盟双腔起搏器带量采购工作，特提供涉及到的产品可供应量及供应期限。</w:t>
      </w:r>
    </w:p>
    <w:p>
      <w:pPr>
        <w:spacing w:before="156" w:beforeLines="50" w:line="600" w:lineRule="exact"/>
        <w:ind w:firstLine="480" w:firstLineChars="200"/>
        <w:rPr>
          <w:rFonts w:hint="eastAsia" w:ascii="仿宋" w:hAnsi="仿宋" w:eastAsia="仿宋"/>
          <w:spacing w:val="-20"/>
          <w:sz w:val="28"/>
          <w:szCs w:val="28"/>
        </w:rPr>
      </w:pPr>
    </w:p>
    <w:tbl>
      <w:tblPr>
        <w:tblStyle w:val="10"/>
        <w:tblpPr w:leftFromText="180" w:rightFromText="180" w:vertAnchor="text" w:horzAnchor="page" w:tblpX="1543" w:tblpY="7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275"/>
        <w:gridCol w:w="1072"/>
        <w:gridCol w:w="1065"/>
        <w:gridCol w:w="1065"/>
        <w:gridCol w:w="1198"/>
        <w:gridCol w:w="1112"/>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组件编号</w:t>
            </w:r>
          </w:p>
        </w:tc>
        <w:tc>
          <w:tcPr>
            <w:tcW w:w="1275"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注册证编号</w:t>
            </w:r>
          </w:p>
        </w:tc>
        <w:tc>
          <w:tcPr>
            <w:tcW w:w="1072"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产品名称</w:t>
            </w:r>
          </w:p>
        </w:tc>
        <w:tc>
          <w:tcPr>
            <w:tcW w:w="1065"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规格</w:t>
            </w:r>
          </w:p>
        </w:tc>
        <w:tc>
          <w:tcPr>
            <w:tcW w:w="1065"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型号</w:t>
            </w:r>
          </w:p>
        </w:tc>
        <w:tc>
          <w:tcPr>
            <w:tcW w:w="1198"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申报企业名称</w:t>
            </w:r>
          </w:p>
        </w:tc>
        <w:tc>
          <w:tcPr>
            <w:tcW w:w="1112"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可供应量</w:t>
            </w:r>
          </w:p>
        </w:tc>
        <w:tc>
          <w:tcPr>
            <w:tcW w:w="1175" w:type="dxa"/>
            <w:noWrap w:val="0"/>
            <w:vAlign w:val="center"/>
          </w:tcPr>
          <w:p>
            <w:pPr>
              <w:jc w:val="center"/>
              <w:rPr>
                <w:rFonts w:hint="eastAsia" w:ascii="黑体" w:hAnsi="黑体" w:eastAsia="黑体" w:cs="黑体"/>
                <w:vertAlign w:val="baseline"/>
                <w:lang w:eastAsia="zh-CN"/>
              </w:rPr>
            </w:pPr>
            <w:r>
              <w:rPr>
                <w:rFonts w:hint="eastAsia" w:ascii="黑体" w:hAnsi="黑体" w:eastAsia="黑体" w:cs="黑体"/>
                <w:vertAlign w:val="baseline"/>
                <w:lang w:eastAsia="zh-CN"/>
              </w:rPr>
              <w:t>供应期限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top"/>
          </w:tcPr>
          <w:p>
            <w:pPr>
              <w:jc w:val="center"/>
              <w:rPr>
                <w:rFonts w:hint="eastAsia"/>
                <w:vertAlign w:val="baseline"/>
                <w:lang w:eastAsia="zh-CN"/>
              </w:rPr>
            </w:pPr>
          </w:p>
        </w:tc>
        <w:tc>
          <w:tcPr>
            <w:tcW w:w="1275" w:type="dxa"/>
            <w:noWrap w:val="0"/>
            <w:vAlign w:val="top"/>
          </w:tcPr>
          <w:p>
            <w:pPr>
              <w:jc w:val="center"/>
              <w:rPr>
                <w:rFonts w:hint="eastAsia"/>
                <w:vertAlign w:val="baseline"/>
                <w:lang w:eastAsia="zh-CN"/>
              </w:rPr>
            </w:pPr>
          </w:p>
        </w:tc>
        <w:tc>
          <w:tcPr>
            <w:tcW w:w="1072" w:type="dxa"/>
            <w:noWrap w:val="0"/>
            <w:vAlign w:val="top"/>
          </w:tcPr>
          <w:p>
            <w:pPr>
              <w:jc w:val="center"/>
              <w:rPr>
                <w:rFonts w:hint="eastAsia"/>
                <w:vertAlign w:val="baseline"/>
                <w:lang w:eastAsia="zh-CN"/>
              </w:rPr>
            </w:pPr>
          </w:p>
        </w:tc>
        <w:tc>
          <w:tcPr>
            <w:tcW w:w="1065" w:type="dxa"/>
            <w:noWrap w:val="0"/>
            <w:vAlign w:val="top"/>
          </w:tcPr>
          <w:p>
            <w:pPr>
              <w:jc w:val="center"/>
              <w:rPr>
                <w:rFonts w:hint="eastAsia"/>
                <w:vertAlign w:val="baseline"/>
                <w:lang w:eastAsia="zh-CN"/>
              </w:rPr>
            </w:pPr>
          </w:p>
        </w:tc>
        <w:tc>
          <w:tcPr>
            <w:tcW w:w="1065" w:type="dxa"/>
            <w:noWrap w:val="0"/>
            <w:vAlign w:val="top"/>
          </w:tcPr>
          <w:p>
            <w:pPr>
              <w:jc w:val="center"/>
              <w:rPr>
                <w:rFonts w:hint="eastAsia"/>
                <w:vertAlign w:val="baseline"/>
                <w:lang w:eastAsia="zh-CN"/>
              </w:rPr>
            </w:pPr>
          </w:p>
        </w:tc>
        <w:tc>
          <w:tcPr>
            <w:tcW w:w="1198" w:type="dxa"/>
            <w:noWrap w:val="0"/>
            <w:vAlign w:val="top"/>
          </w:tcPr>
          <w:p>
            <w:pPr>
              <w:jc w:val="center"/>
              <w:rPr>
                <w:rFonts w:hint="eastAsia"/>
                <w:vertAlign w:val="baseline"/>
                <w:lang w:eastAsia="zh-CN"/>
              </w:rPr>
            </w:pPr>
          </w:p>
        </w:tc>
        <w:tc>
          <w:tcPr>
            <w:tcW w:w="1112" w:type="dxa"/>
            <w:noWrap w:val="0"/>
            <w:vAlign w:val="top"/>
          </w:tcPr>
          <w:p>
            <w:pPr>
              <w:jc w:val="center"/>
              <w:rPr>
                <w:rFonts w:hint="eastAsia"/>
                <w:vertAlign w:val="baseline"/>
                <w:lang w:eastAsia="zh-CN"/>
              </w:rPr>
            </w:pPr>
          </w:p>
        </w:tc>
        <w:tc>
          <w:tcPr>
            <w:tcW w:w="1175" w:type="dxa"/>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top"/>
          </w:tcPr>
          <w:p>
            <w:pPr>
              <w:jc w:val="center"/>
              <w:rPr>
                <w:rFonts w:hint="eastAsia"/>
                <w:vertAlign w:val="baseline"/>
                <w:lang w:eastAsia="zh-CN"/>
              </w:rPr>
            </w:pPr>
          </w:p>
        </w:tc>
        <w:tc>
          <w:tcPr>
            <w:tcW w:w="1275" w:type="dxa"/>
            <w:noWrap w:val="0"/>
            <w:vAlign w:val="top"/>
          </w:tcPr>
          <w:p>
            <w:pPr>
              <w:jc w:val="center"/>
              <w:rPr>
                <w:rFonts w:hint="eastAsia"/>
                <w:vertAlign w:val="baseline"/>
                <w:lang w:eastAsia="zh-CN"/>
              </w:rPr>
            </w:pPr>
          </w:p>
        </w:tc>
        <w:tc>
          <w:tcPr>
            <w:tcW w:w="1072" w:type="dxa"/>
            <w:noWrap w:val="0"/>
            <w:vAlign w:val="top"/>
          </w:tcPr>
          <w:p>
            <w:pPr>
              <w:jc w:val="center"/>
              <w:rPr>
                <w:rFonts w:hint="eastAsia"/>
                <w:vertAlign w:val="baseline"/>
                <w:lang w:eastAsia="zh-CN"/>
              </w:rPr>
            </w:pPr>
          </w:p>
        </w:tc>
        <w:tc>
          <w:tcPr>
            <w:tcW w:w="1065" w:type="dxa"/>
            <w:noWrap w:val="0"/>
            <w:vAlign w:val="top"/>
          </w:tcPr>
          <w:p>
            <w:pPr>
              <w:jc w:val="center"/>
              <w:rPr>
                <w:rFonts w:hint="eastAsia"/>
                <w:vertAlign w:val="baseline"/>
                <w:lang w:eastAsia="zh-CN"/>
              </w:rPr>
            </w:pPr>
          </w:p>
        </w:tc>
        <w:tc>
          <w:tcPr>
            <w:tcW w:w="1065" w:type="dxa"/>
            <w:noWrap w:val="0"/>
            <w:vAlign w:val="top"/>
          </w:tcPr>
          <w:p>
            <w:pPr>
              <w:jc w:val="center"/>
              <w:rPr>
                <w:rFonts w:hint="eastAsia"/>
                <w:vertAlign w:val="baseline"/>
                <w:lang w:eastAsia="zh-CN"/>
              </w:rPr>
            </w:pPr>
          </w:p>
        </w:tc>
        <w:tc>
          <w:tcPr>
            <w:tcW w:w="1198" w:type="dxa"/>
            <w:noWrap w:val="0"/>
            <w:vAlign w:val="top"/>
          </w:tcPr>
          <w:p>
            <w:pPr>
              <w:jc w:val="center"/>
              <w:rPr>
                <w:rFonts w:hint="eastAsia"/>
                <w:vertAlign w:val="baseline"/>
                <w:lang w:eastAsia="zh-CN"/>
              </w:rPr>
            </w:pPr>
          </w:p>
        </w:tc>
        <w:tc>
          <w:tcPr>
            <w:tcW w:w="1112" w:type="dxa"/>
            <w:noWrap w:val="0"/>
            <w:vAlign w:val="top"/>
          </w:tcPr>
          <w:p>
            <w:pPr>
              <w:jc w:val="center"/>
              <w:rPr>
                <w:rFonts w:hint="eastAsia"/>
                <w:vertAlign w:val="baseline"/>
                <w:lang w:eastAsia="zh-CN"/>
              </w:rPr>
            </w:pPr>
          </w:p>
        </w:tc>
        <w:tc>
          <w:tcPr>
            <w:tcW w:w="1175" w:type="dxa"/>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top"/>
          </w:tcPr>
          <w:p>
            <w:pPr>
              <w:jc w:val="center"/>
              <w:rPr>
                <w:rFonts w:hint="eastAsia"/>
                <w:vertAlign w:val="baseline"/>
                <w:lang w:eastAsia="zh-CN"/>
              </w:rPr>
            </w:pPr>
          </w:p>
        </w:tc>
        <w:tc>
          <w:tcPr>
            <w:tcW w:w="1275" w:type="dxa"/>
            <w:noWrap w:val="0"/>
            <w:vAlign w:val="top"/>
          </w:tcPr>
          <w:p>
            <w:pPr>
              <w:jc w:val="center"/>
              <w:rPr>
                <w:rFonts w:hint="eastAsia"/>
                <w:vertAlign w:val="baseline"/>
                <w:lang w:eastAsia="zh-CN"/>
              </w:rPr>
            </w:pPr>
          </w:p>
        </w:tc>
        <w:tc>
          <w:tcPr>
            <w:tcW w:w="1072" w:type="dxa"/>
            <w:noWrap w:val="0"/>
            <w:vAlign w:val="top"/>
          </w:tcPr>
          <w:p>
            <w:pPr>
              <w:jc w:val="center"/>
              <w:rPr>
                <w:rFonts w:hint="eastAsia"/>
                <w:vertAlign w:val="baseline"/>
                <w:lang w:eastAsia="zh-CN"/>
              </w:rPr>
            </w:pPr>
          </w:p>
        </w:tc>
        <w:tc>
          <w:tcPr>
            <w:tcW w:w="1065" w:type="dxa"/>
            <w:noWrap w:val="0"/>
            <w:vAlign w:val="top"/>
          </w:tcPr>
          <w:p>
            <w:pPr>
              <w:jc w:val="center"/>
              <w:rPr>
                <w:rFonts w:hint="eastAsia"/>
                <w:vertAlign w:val="baseline"/>
                <w:lang w:eastAsia="zh-CN"/>
              </w:rPr>
            </w:pPr>
          </w:p>
        </w:tc>
        <w:tc>
          <w:tcPr>
            <w:tcW w:w="1065" w:type="dxa"/>
            <w:noWrap w:val="0"/>
            <w:vAlign w:val="top"/>
          </w:tcPr>
          <w:p>
            <w:pPr>
              <w:jc w:val="center"/>
              <w:rPr>
                <w:rFonts w:hint="eastAsia"/>
                <w:vertAlign w:val="baseline"/>
                <w:lang w:eastAsia="zh-CN"/>
              </w:rPr>
            </w:pPr>
          </w:p>
        </w:tc>
        <w:tc>
          <w:tcPr>
            <w:tcW w:w="1198" w:type="dxa"/>
            <w:noWrap w:val="0"/>
            <w:vAlign w:val="top"/>
          </w:tcPr>
          <w:p>
            <w:pPr>
              <w:jc w:val="center"/>
              <w:rPr>
                <w:rFonts w:hint="eastAsia"/>
                <w:vertAlign w:val="baseline"/>
                <w:lang w:eastAsia="zh-CN"/>
              </w:rPr>
            </w:pPr>
          </w:p>
        </w:tc>
        <w:tc>
          <w:tcPr>
            <w:tcW w:w="1112" w:type="dxa"/>
            <w:noWrap w:val="0"/>
            <w:vAlign w:val="top"/>
          </w:tcPr>
          <w:p>
            <w:pPr>
              <w:jc w:val="center"/>
              <w:rPr>
                <w:rFonts w:hint="eastAsia"/>
                <w:vertAlign w:val="baseline"/>
                <w:lang w:eastAsia="zh-CN"/>
              </w:rPr>
            </w:pPr>
          </w:p>
        </w:tc>
        <w:tc>
          <w:tcPr>
            <w:tcW w:w="1175" w:type="dxa"/>
            <w:noWrap w:val="0"/>
            <w:vAlign w:val="top"/>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top"/>
          </w:tcPr>
          <w:p>
            <w:pPr>
              <w:jc w:val="center"/>
              <w:rPr>
                <w:rFonts w:hint="eastAsia"/>
                <w:vertAlign w:val="baseline"/>
                <w:lang w:eastAsia="zh-CN"/>
              </w:rPr>
            </w:pPr>
          </w:p>
        </w:tc>
        <w:tc>
          <w:tcPr>
            <w:tcW w:w="1275" w:type="dxa"/>
            <w:noWrap w:val="0"/>
            <w:vAlign w:val="top"/>
          </w:tcPr>
          <w:p>
            <w:pPr>
              <w:jc w:val="center"/>
              <w:rPr>
                <w:rFonts w:hint="eastAsia"/>
                <w:vertAlign w:val="baseline"/>
                <w:lang w:eastAsia="zh-CN"/>
              </w:rPr>
            </w:pPr>
          </w:p>
        </w:tc>
        <w:tc>
          <w:tcPr>
            <w:tcW w:w="1072" w:type="dxa"/>
            <w:noWrap w:val="0"/>
            <w:vAlign w:val="top"/>
          </w:tcPr>
          <w:p>
            <w:pPr>
              <w:jc w:val="center"/>
              <w:rPr>
                <w:rFonts w:hint="eastAsia"/>
                <w:vertAlign w:val="baseline"/>
                <w:lang w:eastAsia="zh-CN"/>
              </w:rPr>
            </w:pPr>
          </w:p>
        </w:tc>
        <w:tc>
          <w:tcPr>
            <w:tcW w:w="1065" w:type="dxa"/>
            <w:noWrap w:val="0"/>
            <w:vAlign w:val="top"/>
          </w:tcPr>
          <w:p>
            <w:pPr>
              <w:jc w:val="center"/>
              <w:rPr>
                <w:rFonts w:hint="eastAsia"/>
                <w:vertAlign w:val="baseline"/>
                <w:lang w:eastAsia="zh-CN"/>
              </w:rPr>
            </w:pPr>
          </w:p>
        </w:tc>
        <w:tc>
          <w:tcPr>
            <w:tcW w:w="1065" w:type="dxa"/>
            <w:noWrap w:val="0"/>
            <w:vAlign w:val="top"/>
          </w:tcPr>
          <w:p>
            <w:pPr>
              <w:jc w:val="center"/>
              <w:rPr>
                <w:rFonts w:hint="eastAsia"/>
                <w:vertAlign w:val="baseline"/>
                <w:lang w:eastAsia="zh-CN"/>
              </w:rPr>
            </w:pPr>
          </w:p>
        </w:tc>
        <w:tc>
          <w:tcPr>
            <w:tcW w:w="1198" w:type="dxa"/>
            <w:noWrap w:val="0"/>
            <w:vAlign w:val="top"/>
          </w:tcPr>
          <w:p>
            <w:pPr>
              <w:jc w:val="center"/>
              <w:rPr>
                <w:rFonts w:hint="eastAsia"/>
                <w:vertAlign w:val="baseline"/>
                <w:lang w:eastAsia="zh-CN"/>
              </w:rPr>
            </w:pPr>
          </w:p>
        </w:tc>
        <w:tc>
          <w:tcPr>
            <w:tcW w:w="1112" w:type="dxa"/>
            <w:noWrap w:val="0"/>
            <w:vAlign w:val="top"/>
          </w:tcPr>
          <w:p>
            <w:pPr>
              <w:jc w:val="center"/>
              <w:rPr>
                <w:rFonts w:hint="eastAsia"/>
                <w:vertAlign w:val="baseline"/>
                <w:lang w:eastAsia="zh-CN"/>
              </w:rPr>
            </w:pPr>
          </w:p>
        </w:tc>
        <w:tc>
          <w:tcPr>
            <w:tcW w:w="1175" w:type="dxa"/>
            <w:noWrap w:val="0"/>
            <w:vAlign w:val="top"/>
          </w:tcPr>
          <w:p>
            <w:pPr>
              <w:jc w:val="center"/>
              <w:rPr>
                <w:rFonts w:hint="eastAsia"/>
                <w:vertAlign w:val="baseline"/>
                <w:lang w:eastAsia="zh-CN"/>
              </w:rPr>
            </w:pPr>
          </w:p>
        </w:tc>
      </w:tr>
    </w:tbl>
    <w:p/>
    <w:p/>
    <w:p>
      <w:pPr>
        <w:spacing w:before="156" w:beforeLines="50" w:line="600" w:lineRule="exact"/>
        <w:ind w:firstLine="400" w:firstLineChars="200"/>
        <w:jc w:val="both"/>
        <w:rPr>
          <w:rFonts w:hint="default" w:ascii="仿宋" w:hAnsi="仿宋" w:eastAsia="仿宋"/>
          <w:spacing w:val="-20"/>
          <w:sz w:val="24"/>
          <w:szCs w:val="24"/>
          <w:lang w:val="en-US" w:eastAsia="zh-CN"/>
        </w:rPr>
      </w:pPr>
      <w:r>
        <w:rPr>
          <w:rFonts w:hint="eastAsia" w:ascii="仿宋" w:hAnsi="仿宋" w:eastAsia="仿宋"/>
          <w:spacing w:val="-20"/>
          <w:sz w:val="24"/>
          <w:szCs w:val="24"/>
          <w:lang w:val="en-US" w:eastAsia="zh-CN"/>
        </w:rPr>
        <w:t>备注：组件编号为陕西平台挂网编号，如未在陕西挂网，填写“无”。</w:t>
      </w:r>
    </w:p>
    <w:p/>
    <w:p/>
    <w:p>
      <w:pPr>
        <w:spacing w:before="156" w:beforeLines="50" w:line="600" w:lineRule="exact"/>
        <w:ind w:firstLine="480" w:firstLineChars="200"/>
        <w:rPr>
          <w:rFonts w:hint="eastAsia" w:ascii="仿宋" w:hAnsi="仿宋" w:eastAsia="仿宋"/>
          <w:spacing w:val="-20"/>
          <w:sz w:val="28"/>
          <w:szCs w:val="28"/>
          <w:lang w:val="en-US" w:eastAsia="zh-CN"/>
        </w:rPr>
      </w:pPr>
    </w:p>
    <w:p>
      <w:pPr>
        <w:spacing w:before="156" w:beforeLines="50" w:line="600" w:lineRule="exact"/>
        <w:ind w:firstLine="480" w:firstLineChars="200"/>
        <w:rPr>
          <w:rFonts w:hint="eastAsia" w:ascii="仿宋" w:hAnsi="仿宋" w:eastAsia="仿宋"/>
          <w:spacing w:val="-20"/>
          <w:sz w:val="28"/>
          <w:szCs w:val="28"/>
          <w:lang w:val="en-US" w:eastAsia="zh-CN"/>
        </w:rPr>
      </w:pPr>
      <w:r>
        <w:rPr>
          <w:rFonts w:hint="eastAsia" w:ascii="仿宋" w:hAnsi="仿宋" w:eastAsia="仿宋"/>
          <w:spacing w:val="-20"/>
          <w:sz w:val="28"/>
          <w:szCs w:val="28"/>
          <w:lang w:val="en-US" w:eastAsia="zh-CN"/>
        </w:rPr>
        <w:t xml:space="preserve">                                                   XX企业</w:t>
      </w:r>
    </w:p>
    <w:p>
      <w:pPr>
        <w:spacing w:before="156" w:beforeLines="50" w:line="600" w:lineRule="exact"/>
        <w:ind w:firstLine="5280" w:firstLineChars="2200"/>
        <w:rPr>
          <w:rFonts w:hint="eastAsia" w:ascii="仿宋" w:hAnsi="仿宋" w:eastAsia="仿宋"/>
          <w:spacing w:val="-20"/>
          <w:sz w:val="28"/>
          <w:szCs w:val="28"/>
          <w:lang w:val="en-US" w:eastAsia="zh-CN"/>
        </w:rPr>
      </w:pPr>
      <w:r>
        <w:rPr>
          <w:rFonts w:hint="eastAsia" w:ascii="仿宋" w:hAnsi="仿宋" w:eastAsia="仿宋"/>
          <w:spacing w:val="-20"/>
          <w:sz w:val="28"/>
          <w:szCs w:val="28"/>
          <w:lang w:val="en-US" w:eastAsia="zh-CN"/>
        </w:rPr>
        <w:t>（加盖鲜章）</w:t>
      </w:r>
    </w:p>
    <w:p>
      <w:pPr>
        <w:spacing w:before="156" w:beforeLines="50" w:line="600" w:lineRule="exact"/>
        <w:ind w:firstLine="5520" w:firstLineChars="2300"/>
        <w:rPr>
          <w:rFonts w:hint="default" w:ascii="仿宋" w:hAnsi="仿宋" w:eastAsia="仿宋"/>
          <w:spacing w:val="-20"/>
          <w:sz w:val="28"/>
          <w:szCs w:val="28"/>
          <w:lang w:val="en-US" w:eastAsia="zh-CN"/>
        </w:rPr>
      </w:pPr>
      <w:r>
        <w:rPr>
          <w:rFonts w:hint="eastAsia" w:ascii="仿宋" w:hAnsi="仿宋" w:eastAsia="仿宋"/>
          <w:spacing w:val="-20"/>
          <w:sz w:val="28"/>
          <w:szCs w:val="28"/>
          <w:lang w:val="en-US" w:eastAsia="zh-CN"/>
        </w:rPr>
        <w:t>年    月    日</w:t>
      </w:r>
    </w:p>
    <w:p>
      <w:pPr>
        <w:spacing w:before="156" w:beforeLines="50" w:line="600" w:lineRule="exact"/>
        <w:rPr>
          <w:rFonts w:hint="default" w:ascii="仿宋" w:hAnsi="仿宋" w:eastAsia="仿宋"/>
          <w:spacing w:val="-20"/>
          <w:sz w:val="28"/>
          <w:szCs w:val="28"/>
          <w:lang w:val="en-US" w:eastAsia="zh-CN"/>
        </w:rPr>
      </w:pPr>
    </w:p>
    <w:p>
      <w:pPr>
        <w:keepNext w:val="0"/>
        <w:keepLines w:val="0"/>
        <w:pageBreakBefore w:val="0"/>
        <w:kinsoku/>
        <w:wordWrap/>
        <w:overflowPunct/>
        <w:topLinePunct w:val="0"/>
        <w:autoSpaceDE/>
        <w:autoSpaceDN/>
        <w:bidi w:val="0"/>
        <w:adjustRightInd/>
        <w:spacing w:line="440" w:lineRule="atLeast"/>
        <w:textAlignment w:val="auto"/>
      </w:pPr>
    </w:p>
    <w:p>
      <w:pPr>
        <w:widowControl/>
        <w:jc w:val="left"/>
        <w:rPr>
          <w:rFonts w:ascii="仿宋" w:hAnsi="仿宋" w:eastAsia="仿宋"/>
          <w:sz w:val="24"/>
        </w:rPr>
      </w:pPr>
    </w:p>
    <w:sectPr>
      <w:footerReference r:id="rId5" w:type="first"/>
      <w:headerReference r:id="rId3" w:type="default"/>
      <w:footerReference r:id="rId4" w:type="default"/>
      <w:pgSz w:w="11906" w:h="16838"/>
      <w:pgMar w:top="964" w:right="1134" w:bottom="96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Ｃ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953FD"/>
    <w:multiLevelType w:val="multilevel"/>
    <w:tmpl w:val="047953FD"/>
    <w:lvl w:ilvl="0" w:tentative="0">
      <w:start w:val="1"/>
      <w:numFmt w:val="chineseCountingThousand"/>
      <w:pStyle w:val="2"/>
      <w:suff w:val="nothing"/>
      <w:lvlText w:val="第%1章"/>
      <w:lvlJc w:val="left"/>
      <w:pPr>
        <w:ind w:left="0" w:firstLine="0"/>
      </w:pPr>
      <w:rPr>
        <w:rFonts w:hint="eastAsia" w:ascii="仿宋ＣＳ" w:eastAsia="仿宋ＣＳ"/>
        <w:b/>
        <w:i w:val="0"/>
        <w:sz w:val="32"/>
      </w:rPr>
    </w:lvl>
    <w:lvl w:ilvl="1" w:tentative="0">
      <w:start w:val="1"/>
      <w:numFmt w:val="chineseCountingThousand"/>
      <w:suff w:val="nothing"/>
      <w:lvlText w:val="第%2条"/>
      <w:lvlJc w:val="left"/>
      <w:pPr>
        <w:ind w:left="0" w:firstLine="0"/>
      </w:pPr>
      <w:rPr>
        <w:rFonts w:hint="eastAsia" w:ascii="仿宋ＣＳ" w:eastAsia="仿宋ＣＳ"/>
        <w:b/>
        <w:i w:val="0"/>
        <w:sz w:val="30"/>
      </w:rPr>
    </w:lvl>
    <w:lvl w:ilvl="2" w:tentative="0">
      <w:start w:val="1"/>
      <w:numFmt w:val="chineseCountingThousand"/>
      <w:lvlRestart w:val="0"/>
      <w:pStyle w:val="3"/>
      <w:suff w:val="nothing"/>
      <w:lvlText w:val="（%3）"/>
      <w:lvlJc w:val="left"/>
      <w:pPr>
        <w:ind w:left="0" w:firstLine="0"/>
      </w:pPr>
      <w:rPr>
        <w:rFonts w:hint="eastAsia" w:ascii="仿宋ＣＳ" w:eastAsia="仿宋ＣＳ"/>
        <w:b w:val="0"/>
        <w:i w:val="0"/>
        <w:sz w:val="30"/>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7AC0EE1"/>
    <w:multiLevelType w:val="singleLevel"/>
    <w:tmpl w:val="67AC0EE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1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A2A5C"/>
    <w:rsid w:val="000935F9"/>
    <w:rsid w:val="00362958"/>
    <w:rsid w:val="004839C6"/>
    <w:rsid w:val="0051785D"/>
    <w:rsid w:val="008109CF"/>
    <w:rsid w:val="00885928"/>
    <w:rsid w:val="008C757A"/>
    <w:rsid w:val="008D27DF"/>
    <w:rsid w:val="00907951"/>
    <w:rsid w:val="009F53A4"/>
    <w:rsid w:val="00A77CD0"/>
    <w:rsid w:val="00A959FA"/>
    <w:rsid w:val="00B002DB"/>
    <w:rsid w:val="00B7152C"/>
    <w:rsid w:val="00B87D9B"/>
    <w:rsid w:val="00BA42AF"/>
    <w:rsid w:val="00C44D3E"/>
    <w:rsid w:val="00D41FE5"/>
    <w:rsid w:val="00DC010C"/>
    <w:rsid w:val="00E27994"/>
    <w:rsid w:val="00F03CC9"/>
    <w:rsid w:val="00F70C86"/>
    <w:rsid w:val="00FA52CC"/>
    <w:rsid w:val="00FB5965"/>
    <w:rsid w:val="01BB4D72"/>
    <w:rsid w:val="01C604FB"/>
    <w:rsid w:val="02520B21"/>
    <w:rsid w:val="0387151B"/>
    <w:rsid w:val="05534C3F"/>
    <w:rsid w:val="055F5CBA"/>
    <w:rsid w:val="05626E0D"/>
    <w:rsid w:val="06D01E7D"/>
    <w:rsid w:val="07180914"/>
    <w:rsid w:val="077C0D92"/>
    <w:rsid w:val="077E23F1"/>
    <w:rsid w:val="07D04E6F"/>
    <w:rsid w:val="08257CF7"/>
    <w:rsid w:val="08720A73"/>
    <w:rsid w:val="08A90B45"/>
    <w:rsid w:val="08BF1628"/>
    <w:rsid w:val="09C1294D"/>
    <w:rsid w:val="09EA2A5C"/>
    <w:rsid w:val="0AD044F7"/>
    <w:rsid w:val="0AD14901"/>
    <w:rsid w:val="0BA067A7"/>
    <w:rsid w:val="0D445037"/>
    <w:rsid w:val="0D7E43A1"/>
    <w:rsid w:val="0DC569C2"/>
    <w:rsid w:val="0ECD7668"/>
    <w:rsid w:val="0F202C58"/>
    <w:rsid w:val="0F7B25E5"/>
    <w:rsid w:val="0FA42AAF"/>
    <w:rsid w:val="0FAF7E9B"/>
    <w:rsid w:val="101E2B9B"/>
    <w:rsid w:val="10A3288D"/>
    <w:rsid w:val="11910C48"/>
    <w:rsid w:val="11C56FDD"/>
    <w:rsid w:val="120F29B1"/>
    <w:rsid w:val="126E6F3B"/>
    <w:rsid w:val="12E47762"/>
    <w:rsid w:val="13BC0DC9"/>
    <w:rsid w:val="13C752A2"/>
    <w:rsid w:val="151B1ABF"/>
    <w:rsid w:val="160661B6"/>
    <w:rsid w:val="160E6812"/>
    <w:rsid w:val="161E1D83"/>
    <w:rsid w:val="163D72A6"/>
    <w:rsid w:val="16C37D80"/>
    <w:rsid w:val="17BC0A63"/>
    <w:rsid w:val="18CC7248"/>
    <w:rsid w:val="1A053797"/>
    <w:rsid w:val="1A372AFE"/>
    <w:rsid w:val="1A61746A"/>
    <w:rsid w:val="1B326DFB"/>
    <w:rsid w:val="1B43754D"/>
    <w:rsid w:val="1B67323D"/>
    <w:rsid w:val="1B954985"/>
    <w:rsid w:val="1D203320"/>
    <w:rsid w:val="1DD665C8"/>
    <w:rsid w:val="1E8E49CA"/>
    <w:rsid w:val="1EA71F82"/>
    <w:rsid w:val="1EC33331"/>
    <w:rsid w:val="1F057B42"/>
    <w:rsid w:val="1FA70E6D"/>
    <w:rsid w:val="20404719"/>
    <w:rsid w:val="206458D5"/>
    <w:rsid w:val="207301E1"/>
    <w:rsid w:val="22592AFF"/>
    <w:rsid w:val="227106BB"/>
    <w:rsid w:val="227942B5"/>
    <w:rsid w:val="22B34F25"/>
    <w:rsid w:val="230759DF"/>
    <w:rsid w:val="233C3571"/>
    <w:rsid w:val="241E0F86"/>
    <w:rsid w:val="24B91A52"/>
    <w:rsid w:val="25725A9D"/>
    <w:rsid w:val="259139CD"/>
    <w:rsid w:val="259B497B"/>
    <w:rsid w:val="27BC514E"/>
    <w:rsid w:val="283E03E6"/>
    <w:rsid w:val="28702A34"/>
    <w:rsid w:val="288A51D6"/>
    <w:rsid w:val="29992CD0"/>
    <w:rsid w:val="29F52B41"/>
    <w:rsid w:val="2B0022BA"/>
    <w:rsid w:val="2BF57179"/>
    <w:rsid w:val="2C3E066C"/>
    <w:rsid w:val="2C8F291B"/>
    <w:rsid w:val="2E074AC9"/>
    <w:rsid w:val="2E35640B"/>
    <w:rsid w:val="2E5D1F6A"/>
    <w:rsid w:val="2EFC11A1"/>
    <w:rsid w:val="2F9B3B54"/>
    <w:rsid w:val="305E75BA"/>
    <w:rsid w:val="317D1CD6"/>
    <w:rsid w:val="31A765C7"/>
    <w:rsid w:val="32012ACB"/>
    <w:rsid w:val="32255BD5"/>
    <w:rsid w:val="32B20613"/>
    <w:rsid w:val="3349045B"/>
    <w:rsid w:val="33814A4F"/>
    <w:rsid w:val="34503989"/>
    <w:rsid w:val="35053B85"/>
    <w:rsid w:val="35CD79D9"/>
    <w:rsid w:val="36840840"/>
    <w:rsid w:val="37B76636"/>
    <w:rsid w:val="389903CF"/>
    <w:rsid w:val="38AB1230"/>
    <w:rsid w:val="38CC4D0E"/>
    <w:rsid w:val="39E172FB"/>
    <w:rsid w:val="3A032508"/>
    <w:rsid w:val="3AE54162"/>
    <w:rsid w:val="3B251905"/>
    <w:rsid w:val="3BD04C38"/>
    <w:rsid w:val="3DB360F1"/>
    <w:rsid w:val="3E081F80"/>
    <w:rsid w:val="3E846255"/>
    <w:rsid w:val="3EC80068"/>
    <w:rsid w:val="3F19059E"/>
    <w:rsid w:val="3F2326A9"/>
    <w:rsid w:val="3FDA5295"/>
    <w:rsid w:val="400619B7"/>
    <w:rsid w:val="4235460F"/>
    <w:rsid w:val="4269186B"/>
    <w:rsid w:val="426D551C"/>
    <w:rsid w:val="440D72FB"/>
    <w:rsid w:val="45144830"/>
    <w:rsid w:val="46723841"/>
    <w:rsid w:val="47766B13"/>
    <w:rsid w:val="47AD0EED"/>
    <w:rsid w:val="48460CCF"/>
    <w:rsid w:val="48482E77"/>
    <w:rsid w:val="48AA1B59"/>
    <w:rsid w:val="48FC08D6"/>
    <w:rsid w:val="4A426A37"/>
    <w:rsid w:val="4AB64107"/>
    <w:rsid w:val="4ACF3522"/>
    <w:rsid w:val="4BAE0A5E"/>
    <w:rsid w:val="4BD6203D"/>
    <w:rsid w:val="4CB8155D"/>
    <w:rsid w:val="4D856D2F"/>
    <w:rsid w:val="4E485592"/>
    <w:rsid w:val="4E506BA4"/>
    <w:rsid w:val="4EE70BB8"/>
    <w:rsid w:val="4F24754B"/>
    <w:rsid w:val="4FD35598"/>
    <w:rsid w:val="50BC7FE2"/>
    <w:rsid w:val="51070D21"/>
    <w:rsid w:val="51902E87"/>
    <w:rsid w:val="51952BB0"/>
    <w:rsid w:val="51B955B9"/>
    <w:rsid w:val="524A33EE"/>
    <w:rsid w:val="53DE5EA9"/>
    <w:rsid w:val="55A44370"/>
    <w:rsid w:val="569E77DA"/>
    <w:rsid w:val="578270E0"/>
    <w:rsid w:val="5A1218D9"/>
    <w:rsid w:val="5B6658E0"/>
    <w:rsid w:val="5B762C9F"/>
    <w:rsid w:val="5B842434"/>
    <w:rsid w:val="5BD02701"/>
    <w:rsid w:val="5C6C7D9B"/>
    <w:rsid w:val="5E594AFC"/>
    <w:rsid w:val="5F076E43"/>
    <w:rsid w:val="60CE163D"/>
    <w:rsid w:val="623B5598"/>
    <w:rsid w:val="62A24C04"/>
    <w:rsid w:val="62A3123A"/>
    <w:rsid w:val="62A53228"/>
    <w:rsid w:val="63C75254"/>
    <w:rsid w:val="64120A52"/>
    <w:rsid w:val="64ED372D"/>
    <w:rsid w:val="65F77698"/>
    <w:rsid w:val="66703A61"/>
    <w:rsid w:val="66A63DF2"/>
    <w:rsid w:val="67946302"/>
    <w:rsid w:val="67BD6FB6"/>
    <w:rsid w:val="67C72C1B"/>
    <w:rsid w:val="68305468"/>
    <w:rsid w:val="6ACF038B"/>
    <w:rsid w:val="6B0915C0"/>
    <w:rsid w:val="6B706F6D"/>
    <w:rsid w:val="6C651F90"/>
    <w:rsid w:val="6CB07391"/>
    <w:rsid w:val="6CB36D39"/>
    <w:rsid w:val="6D7C4D48"/>
    <w:rsid w:val="6E8A523E"/>
    <w:rsid w:val="6F9521CE"/>
    <w:rsid w:val="707D7C3A"/>
    <w:rsid w:val="716C727B"/>
    <w:rsid w:val="7184226E"/>
    <w:rsid w:val="71B50B5E"/>
    <w:rsid w:val="72EB478D"/>
    <w:rsid w:val="72EF656D"/>
    <w:rsid w:val="72F04E6D"/>
    <w:rsid w:val="738B384E"/>
    <w:rsid w:val="74AA4276"/>
    <w:rsid w:val="75561FA4"/>
    <w:rsid w:val="759958BB"/>
    <w:rsid w:val="759B0C64"/>
    <w:rsid w:val="762E4852"/>
    <w:rsid w:val="76380789"/>
    <w:rsid w:val="76386FAA"/>
    <w:rsid w:val="768452E0"/>
    <w:rsid w:val="76860A3B"/>
    <w:rsid w:val="7759141E"/>
    <w:rsid w:val="780F1840"/>
    <w:rsid w:val="794C71E9"/>
    <w:rsid w:val="79AE7133"/>
    <w:rsid w:val="79EC4453"/>
    <w:rsid w:val="7A840A88"/>
    <w:rsid w:val="7AAB2843"/>
    <w:rsid w:val="7B1F53BB"/>
    <w:rsid w:val="7C6E74CE"/>
    <w:rsid w:val="7C811015"/>
    <w:rsid w:val="7CAA21D4"/>
    <w:rsid w:val="7D675599"/>
    <w:rsid w:val="7DF61878"/>
    <w:rsid w:val="7E266BF2"/>
    <w:rsid w:val="7EEF4B77"/>
    <w:rsid w:val="7FCE46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numPr>
        <w:ilvl w:val="0"/>
        <w:numId w:val="1"/>
      </w:numPr>
      <w:spacing w:line="460" w:lineRule="exact"/>
      <w:jc w:val="center"/>
      <w:outlineLvl w:val="0"/>
    </w:pPr>
    <w:rPr>
      <w:b/>
      <w:kern w:val="44"/>
      <w:sz w:val="44"/>
      <w:szCs w:val="20"/>
    </w:rPr>
  </w:style>
  <w:style w:type="paragraph" w:styleId="3">
    <w:name w:val="heading 3"/>
    <w:basedOn w:val="1"/>
    <w:next w:val="4"/>
    <w:qFormat/>
    <w:uiPriority w:val="0"/>
    <w:pPr>
      <w:keepNext/>
      <w:keepLines/>
      <w:widowControl/>
      <w:numPr>
        <w:ilvl w:val="2"/>
        <w:numId w:val="1"/>
      </w:numPr>
      <w:spacing w:before="260" w:after="260" w:line="416" w:lineRule="auto"/>
      <w:outlineLvl w:val="2"/>
    </w:pPr>
    <w:rPr>
      <w:rFonts w:eastAsia="仿宋_GB2312"/>
      <w:b/>
      <w:kern w:val="0"/>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w:basedOn w:val="1"/>
    <w:unhideWhenUsed/>
    <w:qFormat/>
    <w:uiPriority w:val="99"/>
    <w:pPr>
      <w:spacing w:after="120"/>
    </w:pPr>
    <w:rPr>
      <w:kern w:val="0"/>
      <w:sz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color w:val="0000FF"/>
      <w:u w:val="single"/>
    </w:rPr>
  </w:style>
  <w:style w:type="paragraph" w:customStyle="1" w:styleId="13">
    <w:name w:val="_Style 5"/>
    <w:basedOn w:val="2"/>
    <w:next w:val="1"/>
    <w:qFormat/>
    <w:uiPriority w:val="39"/>
    <w:pPr>
      <w:numPr>
        <w:numId w:val="0"/>
      </w:numPr>
      <w:spacing w:before="480" w:line="276" w:lineRule="auto"/>
      <w:jc w:val="left"/>
      <w:outlineLvl w:val="9"/>
    </w:pPr>
    <w:rPr>
      <w:rFonts w:ascii="Cambria" w:hAnsi="Cambria"/>
      <w:bCs/>
      <w:color w:val="365F91"/>
      <w:kern w:val="0"/>
      <w:sz w:val="28"/>
      <w:szCs w:val="28"/>
    </w:rPr>
  </w:style>
  <w:style w:type="character" w:customStyle="1" w:styleId="14">
    <w:name w:val="info1"/>
    <w:qFormat/>
    <w:uiPriority w:val="0"/>
    <w:rPr>
      <w:rFonts w:cs="Times New Roman"/>
      <w:sz w:val="29"/>
      <w:szCs w:val="29"/>
    </w:rPr>
  </w:style>
  <w:style w:type="paragraph" w:styleId="15">
    <w:name w:val="List Paragraph"/>
    <w:basedOn w:val="1"/>
    <w:qFormat/>
    <w:uiPriority w:val="1"/>
    <w:pPr>
      <w:spacing w:before="178"/>
      <w:ind w:left="220" w:hanging="461"/>
    </w:pPr>
    <w:rPr>
      <w:rFonts w:ascii="宋体" w:hAnsi="宋体" w:cs="宋体"/>
    </w:rPr>
  </w:style>
  <w:style w:type="paragraph" w:customStyle="1" w:styleId="16">
    <w:name w:val="Body text|1"/>
    <w:basedOn w:val="1"/>
    <w:qFormat/>
    <w:uiPriority w:val="0"/>
    <w:pPr>
      <w:spacing w:line="461"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ypcgzx</Company>
  <Pages>9</Pages>
  <Words>648</Words>
  <Characters>3695</Characters>
  <Lines>30</Lines>
  <Paragraphs>8</Paragraphs>
  <TotalTime>6</TotalTime>
  <ScaleCrop>false</ScaleCrop>
  <LinksUpToDate>false</LinksUpToDate>
  <CharactersWithSpaces>4335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2020-07-17T01:01:00Z</dcterms:created>
  <dc:creator>lenovo</dc:creator>
  <cp:lastModifiedBy>lester</cp:lastModifiedBy>
  <cp:lastPrinted>2021-10-19T03:36:07Z</cp:lastPrinted>
  <dcterms:modified xsi:type="dcterms:W3CDTF">2021-10-19T03:38:56Z</dcterms:modified>
  <dc:title>省际联盟公立医疗机构人工晶体跨区域联合带量采购公告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8CC6734039B14BDAA44114057C30EAB0</vt:lpwstr>
  </property>
</Properties>
</file>